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83" w:rsidRPr="00F75FC2" w:rsidRDefault="00AD7F99" w:rsidP="00F75FC2">
      <w:pPr>
        <w:jc w:val="center"/>
        <w:rPr>
          <w:rFonts w:ascii="Arial" w:hAnsi="Arial" w:cs="Arial"/>
          <w:b/>
          <w:sz w:val="22"/>
          <w:szCs w:val="22"/>
        </w:rPr>
      </w:pPr>
      <w:r w:rsidRPr="00F75FC2">
        <w:rPr>
          <w:rFonts w:ascii="Arial" w:hAnsi="Arial" w:cs="Arial"/>
          <w:b/>
          <w:sz w:val="22"/>
          <w:szCs w:val="22"/>
        </w:rPr>
        <w:t>Tech Nation 2019</w:t>
      </w:r>
      <w:r w:rsidR="00F75FC2" w:rsidRPr="00F75FC2">
        <w:rPr>
          <w:rFonts w:ascii="Arial" w:hAnsi="Arial" w:cs="Arial"/>
          <w:b/>
          <w:sz w:val="22"/>
          <w:szCs w:val="22"/>
        </w:rPr>
        <w:t xml:space="preserve"> - Summary</w:t>
      </w:r>
    </w:p>
    <w:p w:rsidR="00783272" w:rsidRPr="00F75FC2" w:rsidRDefault="00783272">
      <w:pPr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The annual </w:t>
      </w:r>
      <w:hyperlink r:id="rId6" w:tgtFrame="_blank" w:history="1">
        <w:r w:rsidRPr="00F75FC2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Tech Nation Report</w:t>
        </w:r>
      </w:hyperlink>
      <w:r w:rsidRPr="00F75FC2">
        <w:rPr>
          <w:rFonts w:ascii="Arial" w:hAnsi="Arial" w:cs="Arial"/>
          <w:sz w:val="22"/>
          <w:szCs w:val="22"/>
        </w:rPr>
        <w:t> in association with the World Economic Forum reveals key statistics on the UK’s booming tech industry.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The report provides a comprehensive look into the evolution of the UK’s tech ecosystem, exploring the drivers that underpin and power economic growth within the sector.</w:t>
      </w:r>
    </w:p>
    <w:p w:rsidR="00985B4F" w:rsidRPr="00F75FC2" w:rsidRDefault="00A9117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Fonts w:ascii="Arial" w:hAnsi="Arial" w:cs="Arial"/>
          <w:sz w:val="22"/>
          <w:szCs w:val="22"/>
        </w:rPr>
        <w:t>T</w:t>
      </w:r>
      <w:r w:rsidR="00985B4F" w:rsidRPr="00F75FC2">
        <w:rPr>
          <w:rFonts w:ascii="Arial" w:hAnsi="Arial" w:cs="Arial"/>
          <w:sz w:val="22"/>
          <w:szCs w:val="22"/>
        </w:rPr>
        <w:t>he report explores the wider international landscape, looking specifically at international and national tech investment, areas of potential growth and related specialisms, talent hubs and more.</w:t>
      </w: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UK leads Europe in scale</w:t>
      </w:r>
      <w:r w:rsidR="00873946"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-</w:t>
      </w: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up investment</w:t>
      </w:r>
    </w:p>
    <w:p w:rsidR="00873946" w:rsidRPr="00F75FC2" w:rsidRDefault="00873946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873946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Scale-up tech investment </w:t>
      </w:r>
      <w:r w:rsidR="004E254D">
        <w:rPr>
          <w:rFonts w:ascii="Arial" w:hAnsi="Arial" w:cs="Arial"/>
          <w:sz w:val="22"/>
          <w:szCs w:val="22"/>
        </w:rPr>
        <w:t xml:space="preserve">is </w:t>
      </w:r>
      <w:r w:rsidRPr="00F75FC2">
        <w:rPr>
          <w:rFonts w:ascii="Arial" w:hAnsi="Arial" w:cs="Arial"/>
          <w:sz w:val="22"/>
          <w:szCs w:val="22"/>
        </w:rPr>
        <w:t>2.5 times</w:t>
      </w:r>
      <w:r w:rsidR="00985B4F" w:rsidRPr="00F75FC2">
        <w:rPr>
          <w:rFonts w:ascii="Arial" w:hAnsi="Arial" w:cs="Arial"/>
          <w:sz w:val="22"/>
          <w:szCs w:val="22"/>
        </w:rPr>
        <w:t xml:space="preserve"> higher than expected based on the relative size of the UK economy in 2018</w:t>
      </w:r>
    </w:p>
    <w:p w:rsidR="00985B4F" w:rsidRPr="00F75FC2" w:rsidRDefault="00985B4F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UK leads Europe and</w:t>
      </w:r>
      <w:r w:rsidR="003832CA">
        <w:rPr>
          <w:rFonts w:ascii="Arial" w:hAnsi="Arial" w:cs="Arial"/>
          <w:sz w:val="22"/>
          <w:szCs w:val="22"/>
        </w:rPr>
        <w:t xml:space="preserve"> is</w:t>
      </w:r>
      <w:bookmarkStart w:id="0" w:name="_GoBack"/>
      <w:bookmarkEnd w:id="0"/>
      <w:r w:rsidRPr="00F75FC2">
        <w:rPr>
          <w:rFonts w:ascii="Arial" w:hAnsi="Arial" w:cs="Arial"/>
          <w:sz w:val="22"/>
          <w:szCs w:val="22"/>
        </w:rPr>
        <w:t xml:space="preserve"> fourth in the world for scale</w:t>
      </w:r>
      <w:r w:rsidR="00873946" w:rsidRPr="00F75FC2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>up investment after US, China and India</w:t>
      </w:r>
    </w:p>
    <w:p w:rsidR="00985B4F" w:rsidRPr="00F75FC2" w:rsidRDefault="00985B4F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UK remains </w:t>
      </w:r>
      <w:r w:rsidR="003832CA">
        <w:rPr>
          <w:rFonts w:ascii="Arial" w:hAnsi="Arial" w:cs="Arial"/>
          <w:sz w:val="22"/>
          <w:szCs w:val="22"/>
        </w:rPr>
        <w:t xml:space="preserve">a </w:t>
      </w:r>
      <w:r w:rsidRPr="00F75FC2">
        <w:rPr>
          <w:rFonts w:ascii="Arial" w:hAnsi="Arial" w:cs="Arial"/>
          <w:sz w:val="22"/>
          <w:szCs w:val="22"/>
        </w:rPr>
        <w:t>hotbed for tech talent - employing 5% of all high-growth tech workers globally - placing the UK ahead of Japan, France and Indonesia</w:t>
      </w:r>
    </w:p>
    <w:p w:rsidR="00985B4F" w:rsidRPr="00F75FC2" w:rsidRDefault="00985B4F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To date, 35% of Europe and Israel’s tech unicorns ($1bn valued businesses) have been created in the UK</w:t>
      </w:r>
    </w:p>
    <w:p w:rsidR="00985B4F" w:rsidRPr="00F75FC2" w:rsidRDefault="00985B4F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UK number one in the world for scale</w:t>
      </w:r>
      <w:r w:rsidR="00873946" w:rsidRPr="00F75FC2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 xml:space="preserve">up investment into </w:t>
      </w:r>
      <w:proofErr w:type="spellStart"/>
      <w:r w:rsidRPr="00F75FC2">
        <w:rPr>
          <w:rFonts w:ascii="Arial" w:hAnsi="Arial" w:cs="Arial"/>
          <w:sz w:val="22"/>
          <w:szCs w:val="22"/>
        </w:rPr>
        <w:t>fintech</w:t>
      </w:r>
      <w:proofErr w:type="spellEnd"/>
      <w:r w:rsidRPr="00F75FC2">
        <w:rPr>
          <w:rFonts w:ascii="Arial" w:hAnsi="Arial" w:cs="Arial"/>
          <w:sz w:val="22"/>
          <w:szCs w:val="22"/>
        </w:rPr>
        <w:t xml:space="preserve"> firms - generating £4.5bn in funding between 2015 and 2018</w:t>
      </w:r>
    </w:p>
    <w:p w:rsidR="00F75FC2" w:rsidRPr="00F75FC2" w:rsidRDefault="00F75FC2" w:rsidP="00985B4F">
      <w:pPr>
        <w:numPr>
          <w:ilvl w:val="0"/>
          <w:numId w:val="3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Investment in AI grew almost six-fold from 2014 to 2018.</w:t>
      </w:r>
    </w:p>
    <w:p w:rsidR="00873946" w:rsidRPr="00F75FC2" w:rsidRDefault="00873946" w:rsidP="00873946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For the South East of England, headline findings were:</w:t>
      </w:r>
    </w:p>
    <w:p w:rsidR="00873946" w:rsidRPr="00F75FC2" w:rsidRDefault="00873946" w:rsidP="00873946">
      <w:pPr>
        <w:numPr>
          <w:ilvl w:val="0"/>
          <w:numId w:val="2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Turnover from digital tech businesses in the South East is currently £31.94 </w:t>
      </w:r>
      <w:proofErr w:type="spellStart"/>
      <w:r w:rsidRPr="00F75FC2">
        <w:rPr>
          <w:rFonts w:ascii="Arial" w:hAnsi="Arial" w:cs="Arial"/>
          <w:sz w:val="22"/>
          <w:szCs w:val="22"/>
        </w:rPr>
        <w:t>bn</w:t>
      </w:r>
      <w:proofErr w:type="spellEnd"/>
    </w:p>
    <w:p w:rsidR="00873946" w:rsidRPr="00F75FC2" w:rsidRDefault="00873946" w:rsidP="00873946">
      <w:pPr>
        <w:numPr>
          <w:ilvl w:val="0"/>
          <w:numId w:val="2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Digital tech business count stands at 38,530</w:t>
      </w:r>
    </w:p>
    <w:p w:rsidR="00873946" w:rsidRPr="00F75FC2" w:rsidRDefault="00873946" w:rsidP="00873946">
      <w:pPr>
        <w:numPr>
          <w:ilvl w:val="0"/>
          <w:numId w:val="2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Employment in the digital tech sector has reached 215,000</w:t>
      </w:r>
    </w:p>
    <w:p w:rsidR="00873946" w:rsidRPr="00F75FC2" w:rsidRDefault="00873946" w:rsidP="00873946">
      <w:pPr>
        <w:numPr>
          <w:ilvl w:val="0"/>
          <w:numId w:val="2"/>
        </w:numPr>
        <w:shd w:val="clear" w:color="auto" w:fill="FFFFFF"/>
        <w:ind w:left="48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Digital tech productivity per worker is £184,000</w:t>
      </w:r>
    </w:p>
    <w:p w:rsidR="00985B4F" w:rsidRPr="00F75FC2" w:rsidRDefault="00985B4F" w:rsidP="00873946">
      <w:pPr>
        <w:shd w:val="clear" w:color="auto" w:fill="FFFFFF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Investment </w:t>
      </w:r>
    </w:p>
    <w:p w:rsidR="00873946" w:rsidRPr="00F75FC2" w:rsidRDefault="00873946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The UK tech sector performed particularly well in investment last year. In 2018, the UK managed to attract 5% of global high-tech scale</w:t>
      </w:r>
      <w:r w:rsidR="00B77FA9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>up investment, placing it fourth in the world - ahea</w:t>
      </w:r>
      <w:r w:rsidR="00A9117F" w:rsidRPr="00F75FC2">
        <w:rPr>
          <w:rFonts w:ascii="Arial" w:hAnsi="Arial" w:cs="Arial"/>
          <w:sz w:val="22"/>
          <w:szCs w:val="22"/>
        </w:rPr>
        <w:t>d of Germany, France and Sweden.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Investment for UK high-growth digital tech firms also grew 61% between 2017 and 2018 – driven in large part by ambitious UK tech scale</w:t>
      </w:r>
      <w:r w:rsidR="00B77FA9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>ups (tech scale</w:t>
      </w:r>
      <w:r w:rsidR="00B77FA9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 xml:space="preserve">ups delivered the majority of all tech investments in the UK </w:t>
      </w:r>
      <w:r w:rsidR="00F75FC2" w:rsidRPr="00F75FC2">
        <w:rPr>
          <w:rFonts w:ascii="Arial" w:hAnsi="Arial" w:cs="Arial"/>
          <w:sz w:val="22"/>
          <w:szCs w:val="22"/>
        </w:rPr>
        <w:t xml:space="preserve">(80%) </w:t>
      </w:r>
      <w:r w:rsidRPr="00F75FC2">
        <w:rPr>
          <w:rFonts w:ascii="Arial" w:hAnsi="Arial" w:cs="Arial"/>
          <w:sz w:val="22"/>
          <w:szCs w:val="22"/>
        </w:rPr>
        <w:t>in 2018 - £5bn of £6.3bn).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The UK’s strongest tech sub-sector, and where it currently ranks as number one in the world, is </w:t>
      </w:r>
      <w:proofErr w:type="spellStart"/>
      <w:r w:rsidRPr="00F75FC2">
        <w:rPr>
          <w:rFonts w:ascii="Arial" w:hAnsi="Arial" w:cs="Arial"/>
          <w:sz w:val="22"/>
          <w:szCs w:val="22"/>
        </w:rPr>
        <w:t>fintech</w:t>
      </w:r>
      <w:proofErr w:type="spellEnd"/>
      <w:r w:rsidRPr="00F75FC2">
        <w:rPr>
          <w:rFonts w:ascii="Arial" w:hAnsi="Arial" w:cs="Arial"/>
          <w:sz w:val="22"/>
          <w:szCs w:val="22"/>
        </w:rPr>
        <w:t xml:space="preserve">, with investment in UK high-growth </w:t>
      </w:r>
      <w:proofErr w:type="spellStart"/>
      <w:r w:rsidRPr="00F75FC2">
        <w:rPr>
          <w:rFonts w:ascii="Arial" w:hAnsi="Arial" w:cs="Arial"/>
          <w:sz w:val="22"/>
          <w:szCs w:val="22"/>
        </w:rPr>
        <w:t>fintech</w:t>
      </w:r>
      <w:proofErr w:type="spellEnd"/>
      <w:r w:rsidRPr="00F75FC2">
        <w:rPr>
          <w:rFonts w:ascii="Arial" w:hAnsi="Arial" w:cs="Arial"/>
          <w:sz w:val="22"/>
          <w:szCs w:val="22"/>
        </w:rPr>
        <w:t xml:space="preserve"> firms achieving £4.5bn between 2015 and 2018.</w:t>
      </w:r>
      <w:r w:rsidR="00EA16D9" w:rsidRPr="00F75FC2">
        <w:rPr>
          <w:rFonts w:ascii="Arial" w:hAnsi="Arial" w:cs="Arial"/>
          <w:sz w:val="22"/>
          <w:szCs w:val="22"/>
        </w:rPr>
        <w:t xml:space="preserve">  </w:t>
      </w:r>
      <w:r w:rsidR="00EA16D9" w:rsidRPr="00F75FC2">
        <w:rPr>
          <w:rFonts w:ascii="Arial" w:hAnsi="Arial" w:cs="Arial"/>
          <w:sz w:val="22"/>
          <w:szCs w:val="22"/>
          <w:lang w:val="en"/>
        </w:rPr>
        <w:t>This is followed by E-commerce, Gaming and SaaS.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London continues to remain the UK’s leader in attracting high-growth tech investment, receiving £9bn from 2015 to 2018</w:t>
      </w:r>
      <w:r w:rsidR="00F75FC2" w:rsidRPr="00F75FC2">
        <w:rPr>
          <w:rFonts w:ascii="Arial" w:hAnsi="Arial" w:cs="Arial"/>
          <w:sz w:val="22"/>
          <w:szCs w:val="22"/>
        </w:rPr>
        <w:t xml:space="preserve"> and sits in the top 20 global cities for scale-up investment</w:t>
      </w:r>
      <w:r w:rsidRPr="00F75FC2">
        <w:rPr>
          <w:rFonts w:ascii="Arial" w:hAnsi="Arial" w:cs="Arial"/>
          <w:sz w:val="22"/>
          <w:szCs w:val="22"/>
        </w:rPr>
        <w:t>. Cambridge is second, at £583m, with other UK cities continuing to make considerable ground.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Looking beyond high-growth tech companies, the last 12 years have seen a much greater distribution of investment across the UK.</w:t>
      </w:r>
      <w:r w:rsidR="00F75FC2" w:rsidRPr="00F75FC2">
        <w:rPr>
          <w:rFonts w:ascii="Arial" w:hAnsi="Arial" w:cs="Arial"/>
          <w:sz w:val="22"/>
          <w:szCs w:val="22"/>
        </w:rPr>
        <w:t xml:space="preserve"> London accounts for 36% of UK tech investment followed by the South East at 30%.</w:t>
      </w:r>
    </w:p>
    <w:p w:rsidR="00A9117F" w:rsidRPr="00F75FC2" w:rsidRDefault="00F75FC2" w:rsidP="00F75FC2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lastRenderedPageBreak/>
        <w:t>AI start-ups from the UK raised almost double that of France (</w:t>
      </w:r>
      <w:r w:rsidRPr="00F75FC2">
        <w:rPr>
          <w:rFonts w:ascii="Arial" w:hAnsi="Arial" w:cs="Arial"/>
          <w:sz w:val="22"/>
          <w:szCs w:val="22"/>
          <w:lang w:val="en"/>
        </w:rPr>
        <w:t>$</w:t>
      </w:r>
      <w:r w:rsidRPr="00F75FC2">
        <w:rPr>
          <w:rFonts w:ascii="Arial" w:hAnsi="Arial" w:cs="Arial"/>
          <w:sz w:val="22"/>
          <w:szCs w:val="22"/>
        </w:rPr>
        <w:t>400m) and Germany (</w:t>
      </w:r>
      <w:r w:rsidRPr="00F75FC2">
        <w:rPr>
          <w:rFonts w:ascii="Arial" w:hAnsi="Arial" w:cs="Arial"/>
          <w:sz w:val="22"/>
          <w:szCs w:val="22"/>
          <w:lang w:val="en"/>
        </w:rPr>
        <w:t>$300m) combined at $800m.</w:t>
      </w: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The</w:t>
      </w:r>
      <w:r w:rsidR="00A9117F" w:rsidRPr="00F75FC2">
        <w:rPr>
          <w:rFonts w:ascii="Arial" w:hAnsi="Arial" w:cs="Arial"/>
          <w:sz w:val="22"/>
          <w:szCs w:val="22"/>
        </w:rPr>
        <w:t xml:space="preserve"> report </w:t>
      </w:r>
      <w:r w:rsidRPr="00F75FC2">
        <w:rPr>
          <w:rFonts w:ascii="Arial" w:hAnsi="Arial" w:cs="Arial"/>
          <w:sz w:val="22"/>
          <w:szCs w:val="22"/>
        </w:rPr>
        <w:t xml:space="preserve">shows international hubs with shared scale-up investment patterns. </w:t>
      </w:r>
      <w:r w:rsidR="00A9117F" w:rsidRPr="00F75FC2">
        <w:rPr>
          <w:rFonts w:ascii="Arial" w:hAnsi="Arial" w:cs="Arial"/>
          <w:sz w:val="22"/>
          <w:szCs w:val="22"/>
        </w:rPr>
        <w:t xml:space="preserve">Clusters are matched based on the investment that companies based there have received over the last five years.  Cities were paired where they share similar investment trajectories and dynamics.  Brighton &amp; Hove is paired with Perth, Australia and </w:t>
      </w:r>
      <w:proofErr w:type="spellStart"/>
      <w:r w:rsidR="00A9117F" w:rsidRPr="00F75FC2">
        <w:rPr>
          <w:rFonts w:ascii="Arial" w:hAnsi="Arial" w:cs="Arial"/>
          <w:sz w:val="22"/>
          <w:szCs w:val="22"/>
        </w:rPr>
        <w:t>Siheung</w:t>
      </w:r>
      <w:proofErr w:type="spellEnd"/>
      <w:r w:rsidR="00A9117F" w:rsidRPr="00F75FC2">
        <w:rPr>
          <w:rFonts w:ascii="Arial" w:hAnsi="Arial" w:cs="Arial"/>
          <w:sz w:val="22"/>
          <w:szCs w:val="22"/>
        </w:rPr>
        <w:t>, China.</w:t>
      </w:r>
    </w:p>
    <w:p w:rsidR="00EA16D9" w:rsidRPr="00F75FC2" w:rsidRDefault="00EA16D9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EA16D9" w:rsidRPr="00F75FC2" w:rsidRDefault="00EA16D9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When comparing sector specialisms</w:t>
      </w:r>
      <w:r w:rsidRPr="00F75FC2">
        <w:rPr>
          <w:rFonts w:ascii="Arial" w:hAnsi="Arial" w:cs="Arial"/>
          <w:b/>
          <w:sz w:val="22"/>
          <w:szCs w:val="22"/>
        </w:rPr>
        <w:t xml:space="preserve"> </w:t>
      </w:r>
      <w:r w:rsidRPr="00F75FC2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London, </w:t>
      </w:r>
      <w:proofErr w:type="spellStart"/>
      <w:r w:rsidRPr="00F75FC2">
        <w:rPr>
          <w:rStyle w:val="Strong"/>
          <w:rFonts w:ascii="Arial" w:hAnsi="Arial" w:cs="Arial"/>
          <w:b w:val="0"/>
          <w:sz w:val="22"/>
          <w:szCs w:val="22"/>
          <w:lang w:val="en"/>
        </w:rPr>
        <w:t>Basildon</w:t>
      </w:r>
      <w:proofErr w:type="spellEnd"/>
      <w:r w:rsidRPr="00F75FC2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(Essex), York, Brighton and Leeds</w:t>
      </w:r>
      <w:r w:rsidRPr="00F75FC2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F75FC2">
        <w:rPr>
          <w:rFonts w:ascii="Arial" w:hAnsi="Arial" w:cs="Arial"/>
          <w:sz w:val="22"/>
          <w:szCs w:val="22"/>
          <w:lang w:val="en"/>
        </w:rPr>
        <w:t xml:space="preserve">are top </w:t>
      </w:r>
      <w:r w:rsidR="004E254D">
        <w:rPr>
          <w:rFonts w:ascii="Arial" w:hAnsi="Arial" w:cs="Arial"/>
          <w:sz w:val="22"/>
          <w:szCs w:val="22"/>
          <w:lang w:val="en"/>
        </w:rPr>
        <w:t>e-</w:t>
      </w:r>
      <w:r w:rsidR="00F75FC2" w:rsidRPr="00F75FC2">
        <w:rPr>
          <w:rFonts w:ascii="Arial" w:hAnsi="Arial" w:cs="Arial"/>
          <w:sz w:val="22"/>
          <w:szCs w:val="22"/>
          <w:lang w:val="en"/>
        </w:rPr>
        <w:t>commerce investment locations</w:t>
      </w:r>
      <w:r w:rsidR="004E254D">
        <w:rPr>
          <w:rFonts w:ascii="Arial" w:hAnsi="Arial" w:cs="Arial"/>
          <w:sz w:val="22"/>
          <w:szCs w:val="22"/>
          <w:lang w:val="en"/>
        </w:rPr>
        <w:t>,</w:t>
      </w:r>
      <w:r w:rsidR="00F75FC2" w:rsidRPr="00F75FC2">
        <w:rPr>
          <w:rFonts w:ascii="Arial" w:hAnsi="Arial" w:cs="Arial"/>
          <w:sz w:val="22"/>
          <w:szCs w:val="22"/>
          <w:lang w:val="en"/>
        </w:rPr>
        <w:t xml:space="preserve"> </w:t>
      </w:r>
      <w:r w:rsidRPr="00F75FC2">
        <w:rPr>
          <w:rFonts w:ascii="Arial" w:hAnsi="Arial" w:cs="Arial"/>
          <w:sz w:val="22"/>
          <w:szCs w:val="22"/>
          <w:lang w:val="en"/>
        </w:rPr>
        <w:t xml:space="preserve">which means they </w:t>
      </w:r>
      <w:r w:rsidR="004E254D">
        <w:rPr>
          <w:rFonts w:ascii="Arial" w:hAnsi="Arial" w:cs="Arial"/>
          <w:sz w:val="22"/>
          <w:szCs w:val="22"/>
          <w:lang w:val="en"/>
        </w:rPr>
        <w:t xml:space="preserve">are </w:t>
      </w:r>
      <w:r w:rsidRPr="00F75FC2">
        <w:rPr>
          <w:rFonts w:ascii="Arial" w:hAnsi="Arial" w:cs="Arial"/>
          <w:sz w:val="22"/>
          <w:szCs w:val="22"/>
          <w:lang w:val="en"/>
        </w:rPr>
        <w:t>comparable to the likes of Berlin, Ottawa, Buenos Aires, Tel Aviv and Cincinnati</w:t>
      </w:r>
      <w:r w:rsidR="00205D7C" w:rsidRPr="00F75FC2">
        <w:rPr>
          <w:rFonts w:ascii="Arial" w:hAnsi="Arial" w:cs="Arial"/>
          <w:sz w:val="22"/>
          <w:szCs w:val="22"/>
          <w:lang w:val="en"/>
        </w:rPr>
        <w:t>.</w:t>
      </w:r>
    </w:p>
    <w:p w:rsidR="00A9117F" w:rsidRPr="00F75FC2" w:rsidRDefault="00A9117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Employment</w:t>
      </w:r>
    </w:p>
    <w:p w:rsidR="00873946" w:rsidRPr="00F75FC2" w:rsidRDefault="00873946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In 2018 the UK continued to remain a hotbed for tech talent, employing 5% of all high-growth tech workers globally. This places the UK ahead</w:t>
      </w:r>
      <w:r w:rsidR="00730116" w:rsidRPr="00F75FC2">
        <w:rPr>
          <w:rFonts w:ascii="Arial" w:hAnsi="Arial" w:cs="Arial"/>
          <w:sz w:val="22"/>
          <w:szCs w:val="22"/>
        </w:rPr>
        <w:t xml:space="preserve"> of Japan, France and Indonesia.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In the UK, </w:t>
      </w:r>
      <w:proofErr w:type="spellStart"/>
      <w:r w:rsidRPr="00F75FC2">
        <w:rPr>
          <w:rFonts w:ascii="Arial" w:hAnsi="Arial" w:cs="Arial"/>
          <w:sz w:val="22"/>
          <w:szCs w:val="22"/>
        </w:rPr>
        <w:t>Insurtech</w:t>
      </w:r>
      <w:proofErr w:type="spellEnd"/>
      <w:r w:rsidRPr="00F75FC2">
        <w:rPr>
          <w:rFonts w:ascii="Arial" w:hAnsi="Arial" w:cs="Arial"/>
          <w:sz w:val="22"/>
          <w:szCs w:val="22"/>
        </w:rPr>
        <w:t xml:space="preserve"> and Fintech were the biggest employers among high-growth digital tech firms in 2018, employing 24% and 18% of the high-growth workforce respectively.</w:t>
      </w:r>
    </w:p>
    <w:p w:rsidR="00985B4F" w:rsidRPr="00F75FC2" w:rsidRDefault="00985B4F" w:rsidP="00730116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Cyber, AI, and </w:t>
      </w:r>
      <w:proofErr w:type="spellStart"/>
      <w:r w:rsidRPr="00F75FC2">
        <w:rPr>
          <w:rFonts w:ascii="Arial" w:hAnsi="Arial" w:cs="Arial"/>
          <w:sz w:val="22"/>
          <w:szCs w:val="22"/>
        </w:rPr>
        <w:t>Cleantech</w:t>
      </w:r>
      <w:proofErr w:type="spellEnd"/>
      <w:r w:rsidRPr="00F75FC2">
        <w:rPr>
          <w:rFonts w:ascii="Arial" w:hAnsi="Arial" w:cs="Arial"/>
          <w:sz w:val="22"/>
          <w:szCs w:val="22"/>
        </w:rPr>
        <w:t xml:space="preserve"> all feature in the top ten sectors for employment in high-growth tech firms. Investment data shows that AI, Cyber and Big Data are growing in importance for UK tech scale</w:t>
      </w:r>
      <w:r w:rsidR="004E254D">
        <w:rPr>
          <w:rFonts w:ascii="Arial" w:hAnsi="Arial" w:cs="Arial"/>
          <w:sz w:val="22"/>
          <w:szCs w:val="22"/>
        </w:rPr>
        <w:t>-</w:t>
      </w:r>
      <w:r w:rsidRPr="00F75FC2">
        <w:rPr>
          <w:rFonts w:ascii="Arial" w:hAnsi="Arial" w:cs="Arial"/>
          <w:sz w:val="22"/>
          <w:szCs w:val="22"/>
        </w:rPr>
        <w:t>ups. This means that the UK may be about to see more jobs generated in these sectors.             </w:t>
      </w:r>
    </w:p>
    <w:p w:rsidR="00873946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Growth </w:t>
      </w:r>
    </w:p>
    <w:p w:rsidR="00985B4F" w:rsidRPr="00F75FC2" w:rsidRDefault="00985B4F" w:rsidP="007301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</w:pPr>
      <w:r w:rsidRPr="00F75FC2">
        <w:rPr>
          <w:rFonts w:ascii="Arial" w:hAnsi="Arial" w:cs="Arial"/>
          <w:sz w:val="22"/>
          <w:szCs w:val="22"/>
        </w:rPr>
        <w:br/>
        <w:t xml:space="preserve">From December 2018 to February 2019, high growth firms in London grew by over 56%, more </w:t>
      </w:r>
      <w:r w:rsidR="00730116" w:rsidRPr="00F75FC2">
        <w:rPr>
          <w:rFonts w:ascii="Arial" w:hAnsi="Arial" w:cs="Arial"/>
          <w:sz w:val="22"/>
          <w:szCs w:val="22"/>
        </w:rPr>
        <w:t>than anywhere else in the world.</w:t>
      </w:r>
    </w:p>
    <w:p w:rsidR="00873946" w:rsidRPr="00F75FC2" w:rsidRDefault="00873946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Innovation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R&amp;D expenditure in the UK in 2016 represented 1.67% of gross domestic product (GDP).</w:t>
      </w:r>
    </w:p>
    <w:p w:rsidR="00985B4F" w:rsidRPr="00F75FC2" w:rsidRDefault="00985B4F" w:rsidP="00985B4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>Businesses and government have put significant financial resources towards the development of a knowledge-based economy. Based on the most recent data from 2016, the UK was ranked 7</w:t>
      </w:r>
      <w:r w:rsidRPr="00F75FC2"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th</w:t>
      </w:r>
      <w:r w:rsidRPr="00F75FC2">
        <w:rPr>
          <w:rFonts w:ascii="Arial" w:hAnsi="Arial" w:cs="Arial"/>
          <w:sz w:val="22"/>
          <w:szCs w:val="22"/>
        </w:rPr>
        <w:t> globally for R&amp;D expenditure, with spending up £1.4bn to £33.1bn, an increase of 4.3%. This is above the long-term annual average increase of 4.1% since 1990.</w:t>
      </w:r>
    </w:p>
    <w:p w:rsidR="00985B4F" w:rsidRPr="00F75FC2" w:rsidRDefault="00985B4F" w:rsidP="00985B4F">
      <w:pPr>
        <w:pStyle w:val="NormalWeb"/>
        <w:shd w:val="clear" w:color="auto" w:fill="FFFFFF"/>
        <w:spacing w:before="240" w:beforeAutospacing="0" w:after="240" w:afterAutospacing="0"/>
        <w:textAlignment w:val="top"/>
        <w:rPr>
          <w:rFonts w:ascii="Arial" w:hAnsi="Arial" w:cs="Arial"/>
          <w:sz w:val="22"/>
          <w:szCs w:val="22"/>
        </w:rPr>
      </w:pPr>
      <w:r w:rsidRPr="00F75FC2">
        <w:rPr>
          <w:rFonts w:ascii="Arial" w:hAnsi="Arial" w:cs="Arial"/>
          <w:sz w:val="22"/>
          <w:szCs w:val="22"/>
        </w:rPr>
        <w:t xml:space="preserve">Gerard </w:t>
      </w:r>
      <w:proofErr w:type="spellStart"/>
      <w:r w:rsidRPr="00F75FC2">
        <w:rPr>
          <w:rFonts w:ascii="Arial" w:hAnsi="Arial" w:cs="Arial"/>
          <w:sz w:val="22"/>
          <w:szCs w:val="22"/>
        </w:rPr>
        <w:t>Grech</w:t>
      </w:r>
      <w:proofErr w:type="spellEnd"/>
      <w:r w:rsidRPr="00F75FC2">
        <w:rPr>
          <w:rFonts w:ascii="Arial" w:hAnsi="Arial" w:cs="Arial"/>
          <w:sz w:val="22"/>
          <w:szCs w:val="22"/>
        </w:rPr>
        <w:t>, CEO, Tech Nation commented: “The UK continues to exceed all predictions when it comes to tech growth. This report shows how the UK is a critical hub when it comes to global technology developments, with scale-up tech investment being the highest in Europe, and only surpassed by the US, China and India. This is a testament to the innovation, ambition and tenacity of tech entrepreneurs across the UK. These valuable findings will help inform how the UK as a nation can continue to foster competition and collaboration in an increasingly interconnected world.”</w:t>
      </w:r>
    </w:p>
    <w:p w:rsidR="00AD7F99" w:rsidRDefault="00AD7F99"/>
    <w:sectPr w:rsidR="00AD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003"/>
    <w:multiLevelType w:val="multilevel"/>
    <w:tmpl w:val="E38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708AF"/>
    <w:multiLevelType w:val="multilevel"/>
    <w:tmpl w:val="A70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A7787B"/>
    <w:multiLevelType w:val="multilevel"/>
    <w:tmpl w:val="A39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9"/>
    <w:rsid w:val="00205D7C"/>
    <w:rsid w:val="003832CA"/>
    <w:rsid w:val="004E254D"/>
    <w:rsid w:val="00730116"/>
    <w:rsid w:val="00783272"/>
    <w:rsid w:val="00873946"/>
    <w:rsid w:val="00881C83"/>
    <w:rsid w:val="00985B4F"/>
    <w:rsid w:val="00A9117F"/>
    <w:rsid w:val="00AD7F99"/>
    <w:rsid w:val="00B77FA9"/>
    <w:rsid w:val="00C95C98"/>
    <w:rsid w:val="00EA16D9"/>
    <w:rsid w:val="00F32C87"/>
    <w:rsid w:val="00F75FC2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C5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01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5B4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85B4F"/>
    <w:rPr>
      <w:b/>
      <w:bCs/>
    </w:rPr>
  </w:style>
  <w:style w:type="character" w:styleId="Emphasis">
    <w:name w:val="Emphasis"/>
    <w:basedOn w:val="DefaultParagraphFont"/>
    <w:uiPriority w:val="20"/>
    <w:qFormat/>
    <w:rsid w:val="00985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C5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01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5B4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85B4F"/>
    <w:rPr>
      <w:b/>
      <w:bCs/>
    </w:rPr>
  </w:style>
  <w:style w:type="character" w:styleId="Emphasis">
    <w:name w:val="Emphasis"/>
    <w:basedOn w:val="DefaultParagraphFont"/>
    <w:uiPriority w:val="20"/>
    <w:qFormat/>
    <w:rsid w:val="00985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931">
                  <w:blockQuote w:val="1"/>
                  <w:marLeft w:val="0"/>
                  <w:marRight w:val="0"/>
                  <w:marTop w:val="75"/>
                  <w:marBottom w:val="75"/>
                  <w:divBdr>
                    <w:top w:val="single" w:sz="6" w:space="8" w:color="BBBBBB"/>
                    <w:left w:val="single" w:sz="6" w:space="31" w:color="BBBBBB"/>
                    <w:bottom w:val="single" w:sz="6" w:space="4" w:color="BBBBBB"/>
                    <w:right w:val="single" w:sz="6" w:space="4" w:color="BBBBBB"/>
                  </w:divBdr>
                </w:div>
                <w:div w:id="18315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vRJ8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Cadman</dc:creator>
  <cp:lastModifiedBy>Lisa Lemcke</cp:lastModifiedBy>
  <cp:revision>2</cp:revision>
  <cp:lastPrinted>2019-06-18T09:19:00Z</cp:lastPrinted>
  <dcterms:created xsi:type="dcterms:W3CDTF">2019-06-18T11:21:00Z</dcterms:created>
  <dcterms:modified xsi:type="dcterms:W3CDTF">2019-06-18T11:21:00Z</dcterms:modified>
</cp:coreProperties>
</file>