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B4" w:rsidRDefault="007B7AB4" w:rsidP="00DE4242">
      <w:pPr>
        <w:rPr>
          <w:rFonts w:ascii="Arial" w:hAnsi="Arial" w:cs="Arial"/>
          <w:b w:val="0"/>
          <w:sz w:val="28"/>
          <w:szCs w:val="28"/>
        </w:rPr>
      </w:pPr>
      <w:bookmarkStart w:id="0" w:name="_GoBack"/>
      <w:bookmarkEnd w:id="0"/>
    </w:p>
    <w:p w:rsidR="00DE4242" w:rsidRPr="0056466F" w:rsidRDefault="00DE4242" w:rsidP="00DE4242">
      <w:pPr>
        <w:rPr>
          <w:rFonts w:ascii="Arial" w:hAnsi="Arial" w:cs="Arial"/>
          <w:b w:val="0"/>
          <w:sz w:val="28"/>
          <w:szCs w:val="28"/>
        </w:rPr>
      </w:pPr>
      <w:r w:rsidRPr="0056466F">
        <w:rPr>
          <w:rFonts w:ascii="Arial" w:hAnsi="Arial" w:cs="Arial"/>
          <w:b w:val="0"/>
          <w:sz w:val="28"/>
          <w:szCs w:val="28"/>
        </w:rPr>
        <w:t xml:space="preserve">Early Help Hub </w:t>
      </w:r>
    </w:p>
    <w:p w:rsidR="00DE4242" w:rsidRPr="00EA7B30" w:rsidRDefault="00DE4242" w:rsidP="00DE4242">
      <w:pPr>
        <w:rPr>
          <w:rFonts w:ascii="Arial" w:hAnsi="Arial" w:cs="Arial"/>
          <w:b w:val="0"/>
          <w:sz w:val="22"/>
          <w:szCs w:val="22"/>
        </w:rPr>
      </w:pPr>
    </w:p>
    <w:p w:rsidR="00DE4242" w:rsidRPr="0056466F" w:rsidRDefault="00DE4242" w:rsidP="00DE4242">
      <w:pPr>
        <w:rPr>
          <w:rFonts w:ascii="Arial" w:hAnsi="Arial" w:cs="Arial"/>
          <w:b w:val="0"/>
          <w:sz w:val="24"/>
        </w:rPr>
      </w:pPr>
      <w:r w:rsidRPr="0056466F">
        <w:rPr>
          <w:rFonts w:ascii="Arial" w:hAnsi="Arial" w:cs="Arial"/>
          <w:b w:val="0"/>
          <w:sz w:val="24"/>
        </w:rPr>
        <w:t>Guidance on gaining consent</w:t>
      </w:r>
      <w:r w:rsidR="0056466F" w:rsidRPr="0056466F">
        <w:rPr>
          <w:rFonts w:ascii="Arial" w:hAnsi="Arial" w:cs="Arial"/>
          <w:b w:val="0"/>
          <w:sz w:val="24"/>
        </w:rPr>
        <w:t xml:space="preserve"> in order to refer to the Early Help Hub</w:t>
      </w:r>
    </w:p>
    <w:p w:rsidR="00DE4242" w:rsidRPr="00562D0E" w:rsidRDefault="00DE4242" w:rsidP="00DE4242">
      <w:pPr>
        <w:rPr>
          <w:rFonts w:ascii="Arial" w:hAnsi="Arial" w:cs="Arial"/>
          <w:b w:val="0"/>
          <w:color w:val="auto"/>
          <w:sz w:val="22"/>
          <w:szCs w:val="22"/>
        </w:rPr>
      </w:pPr>
    </w:p>
    <w:p w:rsidR="00DE4242" w:rsidRPr="00562D0E" w:rsidRDefault="00B74332" w:rsidP="00DE4242">
      <w:pPr>
        <w:rPr>
          <w:rFonts w:ascii="Arial" w:hAnsi="Arial" w:cs="Arial"/>
          <w:b w:val="0"/>
          <w:color w:val="auto"/>
          <w:sz w:val="22"/>
          <w:szCs w:val="22"/>
        </w:rPr>
      </w:pPr>
      <w:r w:rsidRPr="00562D0E">
        <w:rPr>
          <w:rFonts w:ascii="Arial" w:hAnsi="Arial" w:cs="Arial"/>
          <w:b w:val="0"/>
          <w:color w:val="auto"/>
          <w:sz w:val="22"/>
          <w:szCs w:val="22"/>
        </w:rPr>
        <w:t xml:space="preserve">The support that </w:t>
      </w:r>
      <w:r w:rsidR="00DE4242" w:rsidRPr="00562D0E">
        <w:rPr>
          <w:rFonts w:ascii="Arial" w:hAnsi="Arial" w:cs="Arial"/>
          <w:b w:val="0"/>
          <w:color w:val="auto"/>
          <w:sz w:val="22"/>
          <w:szCs w:val="22"/>
        </w:rPr>
        <w:t xml:space="preserve">Brighton </w:t>
      </w:r>
      <w:r w:rsidRPr="00562D0E">
        <w:rPr>
          <w:rFonts w:ascii="Arial" w:hAnsi="Arial" w:cs="Arial"/>
          <w:b w:val="0"/>
          <w:color w:val="auto"/>
          <w:sz w:val="22"/>
          <w:szCs w:val="22"/>
        </w:rPr>
        <w:t xml:space="preserve">&amp; </w:t>
      </w:r>
      <w:r w:rsidR="00DE4242" w:rsidRPr="00562D0E">
        <w:rPr>
          <w:rFonts w:ascii="Arial" w:hAnsi="Arial" w:cs="Arial"/>
          <w:b w:val="0"/>
          <w:color w:val="auto"/>
          <w:sz w:val="22"/>
          <w:szCs w:val="22"/>
        </w:rPr>
        <w:t>Hove City Council’s Early Help Hub</w:t>
      </w:r>
      <w:r w:rsidRPr="00562D0E">
        <w:rPr>
          <w:rFonts w:ascii="Arial" w:hAnsi="Arial" w:cs="Arial"/>
          <w:b w:val="0"/>
          <w:color w:val="auto"/>
          <w:sz w:val="22"/>
          <w:szCs w:val="22"/>
        </w:rPr>
        <w:t xml:space="preserve"> can offer</w:t>
      </w:r>
      <w:r w:rsidR="00DE4242" w:rsidRPr="00562D0E">
        <w:rPr>
          <w:rFonts w:ascii="Arial" w:hAnsi="Arial" w:cs="Arial"/>
          <w:b w:val="0"/>
          <w:color w:val="auto"/>
          <w:sz w:val="22"/>
          <w:szCs w:val="22"/>
        </w:rPr>
        <w:t xml:space="preserve"> is based on </w:t>
      </w:r>
      <w:r w:rsidRPr="00562D0E">
        <w:rPr>
          <w:rFonts w:ascii="Arial" w:hAnsi="Arial" w:cs="Arial"/>
          <w:b w:val="0"/>
          <w:color w:val="auto"/>
          <w:sz w:val="22"/>
          <w:szCs w:val="22"/>
        </w:rPr>
        <w:t xml:space="preserve">the </w:t>
      </w:r>
      <w:r w:rsidR="00DE4242" w:rsidRPr="00562D0E">
        <w:rPr>
          <w:rFonts w:ascii="Arial" w:hAnsi="Arial" w:cs="Arial"/>
          <w:b w:val="0"/>
          <w:color w:val="auto"/>
          <w:sz w:val="22"/>
          <w:szCs w:val="22"/>
        </w:rPr>
        <w:t>consent of the client/s</w:t>
      </w:r>
      <w:r w:rsidR="00F27A82" w:rsidRPr="00562D0E">
        <w:rPr>
          <w:rFonts w:ascii="Arial" w:hAnsi="Arial" w:cs="Arial"/>
          <w:b w:val="0"/>
          <w:color w:val="auto"/>
          <w:sz w:val="22"/>
          <w:szCs w:val="22"/>
        </w:rPr>
        <w:t xml:space="preserve">. A referral to the Early Help </w:t>
      </w:r>
      <w:r w:rsidRPr="00562D0E">
        <w:rPr>
          <w:rFonts w:ascii="Arial" w:hAnsi="Arial" w:cs="Arial"/>
          <w:b w:val="0"/>
          <w:color w:val="auto"/>
          <w:sz w:val="22"/>
          <w:szCs w:val="22"/>
        </w:rPr>
        <w:t>H</w:t>
      </w:r>
      <w:r w:rsidR="00DE4242" w:rsidRPr="00562D0E">
        <w:rPr>
          <w:rFonts w:ascii="Arial" w:hAnsi="Arial" w:cs="Arial"/>
          <w:b w:val="0"/>
          <w:color w:val="auto"/>
          <w:sz w:val="22"/>
          <w:szCs w:val="22"/>
        </w:rPr>
        <w:t xml:space="preserve">ub requires the practitioner </w:t>
      </w:r>
      <w:r w:rsidRPr="00562D0E">
        <w:rPr>
          <w:rFonts w:ascii="Arial" w:hAnsi="Arial" w:cs="Arial"/>
          <w:b w:val="0"/>
          <w:color w:val="auto"/>
          <w:sz w:val="22"/>
          <w:szCs w:val="22"/>
        </w:rPr>
        <w:t xml:space="preserve">making the </w:t>
      </w:r>
      <w:r w:rsidR="00DE4242" w:rsidRPr="00562D0E">
        <w:rPr>
          <w:rFonts w:ascii="Arial" w:hAnsi="Arial" w:cs="Arial"/>
          <w:b w:val="0"/>
          <w:color w:val="auto"/>
          <w:sz w:val="22"/>
          <w:szCs w:val="22"/>
        </w:rPr>
        <w:t>referral to have gained consent</w:t>
      </w:r>
      <w:r w:rsidRPr="00562D0E">
        <w:rPr>
          <w:rFonts w:ascii="Arial" w:hAnsi="Arial" w:cs="Arial"/>
          <w:b w:val="0"/>
          <w:color w:val="auto"/>
          <w:sz w:val="22"/>
          <w:szCs w:val="22"/>
        </w:rPr>
        <w:t>. T</w:t>
      </w:r>
      <w:r w:rsidR="00DE4242" w:rsidRPr="00562D0E">
        <w:rPr>
          <w:rFonts w:ascii="Arial" w:hAnsi="Arial" w:cs="Arial"/>
          <w:b w:val="0"/>
          <w:color w:val="auto"/>
          <w:sz w:val="22"/>
          <w:szCs w:val="22"/>
        </w:rPr>
        <w:t>his may well be consent from the parents and carers and consent from any young person involved.</w:t>
      </w:r>
      <w:r w:rsidRPr="00562D0E">
        <w:rPr>
          <w:rFonts w:ascii="Arial" w:hAnsi="Arial" w:cs="Arial"/>
          <w:b w:val="0"/>
          <w:color w:val="auto"/>
          <w:sz w:val="22"/>
          <w:szCs w:val="22"/>
        </w:rPr>
        <w:t xml:space="preserve"> </w:t>
      </w:r>
    </w:p>
    <w:p w:rsidR="00C5172A" w:rsidRPr="00562D0E" w:rsidRDefault="00C5172A" w:rsidP="00DE4242">
      <w:pPr>
        <w:rPr>
          <w:rFonts w:ascii="Arial" w:hAnsi="Arial" w:cs="Arial"/>
          <w:b w:val="0"/>
          <w:color w:val="auto"/>
          <w:sz w:val="22"/>
          <w:szCs w:val="22"/>
        </w:rPr>
      </w:pPr>
    </w:p>
    <w:p w:rsidR="00DE4242" w:rsidRPr="00562D0E" w:rsidRDefault="00C5172A" w:rsidP="00DE4242">
      <w:pPr>
        <w:rPr>
          <w:rFonts w:ascii="Arial" w:hAnsi="Arial" w:cs="Arial"/>
          <w:b w:val="0"/>
          <w:color w:val="auto"/>
          <w:sz w:val="24"/>
        </w:rPr>
      </w:pPr>
      <w:r w:rsidRPr="00562D0E">
        <w:rPr>
          <w:rFonts w:ascii="Arial" w:hAnsi="Arial" w:cs="Arial"/>
          <w:b w:val="0"/>
          <w:color w:val="auto"/>
          <w:sz w:val="24"/>
        </w:rPr>
        <w:t xml:space="preserve">Gaining </w:t>
      </w:r>
      <w:r w:rsidR="00DE4242" w:rsidRPr="00562D0E">
        <w:rPr>
          <w:rFonts w:ascii="Arial" w:hAnsi="Arial" w:cs="Arial"/>
          <w:b w:val="0"/>
          <w:color w:val="auto"/>
          <w:sz w:val="24"/>
        </w:rPr>
        <w:t>consent to make a referral to the Early Help Hub</w:t>
      </w:r>
    </w:p>
    <w:p w:rsidR="00DE4242" w:rsidRPr="00562D0E" w:rsidRDefault="00DE4242" w:rsidP="00DE4242">
      <w:pPr>
        <w:rPr>
          <w:rFonts w:ascii="Arial" w:hAnsi="Arial" w:cs="Arial"/>
          <w:b w:val="0"/>
          <w:color w:val="auto"/>
          <w:sz w:val="22"/>
          <w:szCs w:val="22"/>
        </w:rPr>
      </w:pPr>
      <w:r w:rsidRPr="00562D0E">
        <w:rPr>
          <w:rFonts w:ascii="Arial" w:hAnsi="Arial" w:cs="Arial"/>
          <w:b w:val="0"/>
          <w:color w:val="auto"/>
          <w:sz w:val="22"/>
          <w:szCs w:val="22"/>
        </w:rPr>
        <w:t xml:space="preserve">In order to make a referral </w:t>
      </w:r>
      <w:r w:rsidR="00B74332" w:rsidRPr="00562D0E">
        <w:rPr>
          <w:rFonts w:ascii="Arial" w:hAnsi="Arial" w:cs="Arial"/>
          <w:b w:val="0"/>
          <w:color w:val="auto"/>
          <w:sz w:val="22"/>
          <w:szCs w:val="22"/>
        </w:rPr>
        <w:t xml:space="preserve">you need to ensure that your client/s </w:t>
      </w:r>
      <w:r w:rsidRPr="00562D0E">
        <w:rPr>
          <w:rFonts w:ascii="Arial" w:hAnsi="Arial" w:cs="Arial"/>
          <w:b w:val="0"/>
          <w:color w:val="auto"/>
          <w:sz w:val="22"/>
          <w:szCs w:val="22"/>
        </w:rPr>
        <w:t xml:space="preserve">understand they are </w:t>
      </w:r>
      <w:r w:rsidR="00B74332" w:rsidRPr="00562D0E">
        <w:rPr>
          <w:rFonts w:ascii="Arial" w:hAnsi="Arial" w:cs="Arial"/>
          <w:b w:val="0"/>
          <w:color w:val="auto"/>
          <w:sz w:val="22"/>
          <w:szCs w:val="22"/>
        </w:rPr>
        <w:t>consenting to t</w:t>
      </w:r>
      <w:r w:rsidR="00A70D10">
        <w:rPr>
          <w:rFonts w:ascii="Arial" w:hAnsi="Arial" w:cs="Arial"/>
          <w:b w:val="0"/>
          <w:color w:val="auto"/>
          <w:sz w:val="22"/>
          <w:szCs w:val="22"/>
        </w:rPr>
        <w:t>hree</w:t>
      </w:r>
      <w:r w:rsidR="00B74332" w:rsidRPr="00562D0E">
        <w:rPr>
          <w:rFonts w:ascii="Arial" w:hAnsi="Arial" w:cs="Arial"/>
          <w:b w:val="0"/>
          <w:color w:val="auto"/>
          <w:sz w:val="22"/>
          <w:szCs w:val="22"/>
        </w:rPr>
        <w:t xml:space="preserve"> things:</w:t>
      </w:r>
    </w:p>
    <w:p w:rsidR="00DE4242" w:rsidRPr="00EA7B30" w:rsidRDefault="00DE4242" w:rsidP="00DE4242">
      <w:pPr>
        <w:rPr>
          <w:rFonts w:ascii="Arial" w:hAnsi="Arial" w:cs="Arial"/>
          <w:b w:val="0"/>
          <w:sz w:val="22"/>
          <w:szCs w:val="22"/>
        </w:rPr>
      </w:pPr>
    </w:p>
    <w:p w:rsidR="00DE4242" w:rsidRPr="0075426E" w:rsidRDefault="00DE4242" w:rsidP="0075426E">
      <w:pPr>
        <w:pStyle w:val="ListParagraph"/>
        <w:numPr>
          <w:ilvl w:val="0"/>
          <w:numId w:val="9"/>
        </w:numPr>
        <w:rPr>
          <w:rFonts w:ascii="Arial" w:hAnsi="Arial" w:cs="Arial"/>
          <w:b w:val="0"/>
          <w:sz w:val="22"/>
          <w:szCs w:val="22"/>
        </w:rPr>
      </w:pPr>
      <w:r w:rsidRPr="0075426E">
        <w:rPr>
          <w:rFonts w:ascii="Arial" w:hAnsi="Arial" w:cs="Arial"/>
          <w:b w:val="0"/>
          <w:sz w:val="22"/>
          <w:szCs w:val="22"/>
        </w:rPr>
        <w:t>Consent to make a referral to the Early Help Hub</w:t>
      </w:r>
      <w:r w:rsidR="00B74332" w:rsidRPr="0075426E">
        <w:rPr>
          <w:rFonts w:ascii="Arial" w:hAnsi="Arial" w:cs="Arial"/>
          <w:b w:val="0"/>
          <w:sz w:val="22"/>
          <w:szCs w:val="22"/>
        </w:rPr>
        <w:t xml:space="preserve"> </w:t>
      </w:r>
      <w:r w:rsidRPr="0075426E">
        <w:rPr>
          <w:rFonts w:ascii="Arial" w:hAnsi="Arial" w:cs="Arial"/>
          <w:b w:val="0"/>
          <w:sz w:val="22"/>
          <w:szCs w:val="22"/>
        </w:rPr>
        <w:t>- this means to pass on your client’s details to the Early Help Hub and to ask the Hub for some additional support for that family</w:t>
      </w:r>
    </w:p>
    <w:p w:rsidR="00DE4242" w:rsidRPr="00EA7B30" w:rsidRDefault="00DE4242" w:rsidP="00A70D10">
      <w:pPr>
        <w:pStyle w:val="ListParagraph"/>
        <w:rPr>
          <w:rFonts w:ascii="Arial" w:hAnsi="Arial" w:cs="Arial"/>
          <w:b w:val="0"/>
          <w:sz w:val="22"/>
          <w:szCs w:val="22"/>
        </w:rPr>
      </w:pPr>
    </w:p>
    <w:p w:rsidR="00DE4242" w:rsidRPr="0075426E" w:rsidRDefault="00DE4242" w:rsidP="0075426E">
      <w:pPr>
        <w:pStyle w:val="ListParagraph"/>
        <w:numPr>
          <w:ilvl w:val="0"/>
          <w:numId w:val="9"/>
        </w:numPr>
        <w:rPr>
          <w:rFonts w:ascii="Arial" w:hAnsi="Arial" w:cs="Arial"/>
          <w:b w:val="0"/>
          <w:sz w:val="22"/>
          <w:szCs w:val="22"/>
        </w:rPr>
      </w:pPr>
      <w:r w:rsidRPr="0075426E">
        <w:rPr>
          <w:rFonts w:ascii="Arial" w:hAnsi="Arial" w:cs="Arial"/>
          <w:b w:val="0"/>
          <w:sz w:val="22"/>
          <w:szCs w:val="22"/>
        </w:rPr>
        <w:t>Consent to share your client/s information with other professionals who will provide support to the family</w:t>
      </w:r>
    </w:p>
    <w:p w:rsidR="00A70D10" w:rsidRPr="0075426E" w:rsidRDefault="00A70D10" w:rsidP="0075426E">
      <w:pPr>
        <w:pStyle w:val="ListParagraph"/>
        <w:rPr>
          <w:rFonts w:ascii="Arial" w:hAnsi="Arial" w:cs="Arial"/>
          <w:b w:val="0"/>
          <w:sz w:val="22"/>
          <w:szCs w:val="22"/>
        </w:rPr>
      </w:pPr>
    </w:p>
    <w:p w:rsidR="00A70D10" w:rsidRPr="0075426E" w:rsidRDefault="00A70D10" w:rsidP="0075426E">
      <w:pPr>
        <w:pStyle w:val="ListParagraph"/>
        <w:numPr>
          <w:ilvl w:val="0"/>
          <w:numId w:val="9"/>
        </w:numPr>
        <w:rPr>
          <w:rFonts w:ascii="Arial" w:hAnsi="Arial" w:cs="Arial"/>
          <w:b w:val="0"/>
          <w:sz w:val="22"/>
          <w:szCs w:val="22"/>
        </w:rPr>
      </w:pPr>
      <w:r w:rsidRPr="0075426E">
        <w:rPr>
          <w:rFonts w:ascii="Arial" w:hAnsi="Arial" w:cs="Arial"/>
          <w:b w:val="0"/>
          <w:sz w:val="22"/>
          <w:szCs w:val="22"/>
        </w:rPr>
        <w:t xml:space="preserve">Consent for their information to be shared with Government for the purposes of </w:t>
      </w:r>
      <w:r>
        <w:rPr>
          <w:rFonts w:ascii="Arial" w:hAnsi="Arial" w:cs="Arial"/>
          <w:b w:val="0"/>
          <w:sz w:val="22"/>
          <w:szCs w:val="22"/>
        </w:rPr>
        <w:t>a</w:t>
      </w:r>
      <w:r w:rsidRPr="0075426E">
        <w:rPr>
          <w:rFonts w:ascii="Arial" w:hAnsi="Arial" w:cs="Arial"/>
          <w:b w:val="0"/>
          <w:sz w:val="22"/>
          <w:szCs w:val="22"/>
        </w:rPr>
        <w:t xml:space="preserve"> National Evaluation</w:t>
      </w:r>
    </w:p>
    <w:p w:rsidR="00F27A82" w:rsidRPr="00EA7B30" w:rsidRDefault="00F27A82" w:rsidP="00A70D10">
      <w:pPr>
        <w:pStyle w:val="ListParagraph"/>
        <w:rPr>
          <w:rFonts w:ascii="Arial" w:hAnsi="Arial" w:cs="Arial"/>
          <w:b w:val="0"/>
          <w:sz w:val="22"/>
          <w:szCs w:val="22"/>
        </w:rPr>
      </w:pPr>
    </w:p>
    <w:p w:rsidR="00F27A82" w:rsidRDefault="00F27A82" w:rsidP="00F27A82">
      <w:pPr>
        <w:rPr>
          <w:rFonts w:ascii="Arial" w:hAnsi="Arial" w:cs="Arial"/>
          <w:b w:val="0"/>
          <w:sz w:val="22"/>
          <w:szCs w:val="22"/>
        </w:rPr>
      </w:pPr>
      <w:r w:rsidRPr="00EA7B30">
        <w:rPr>
          <w:rFonts w:ascii="Arial" w:hAnsi="Arial" w:cs="Arial"/>
          <w:b w:val="0"/>
          <w:sz w:val="22"/>
          <w:szCs w:val="22"/>
        </w:rPr>
        <w:t xml:space="preserve">The Early Help Hub needs consent </w:t>
      </w:r>
      <w:r w:rsidR="007B7AB4">
        <w:rPr>
          <w:rFonts w:ascii="Arial" w:hAnsi="Arial" w:cs="Arial"/>
          <w:b w:val="0"/>
          <w:sz w:val="22"/>
          <w:szCs w:val="22"/>
        </w:rPr>
        <w:t>to refer and consent to share information in or</w:t>
      </w:r>
      <w:r w:rsidRPr="00EA7B30">
        <w:rPr>
          <w:rFonts w:ascii="Arial" w:hAnsi="Arial" w:cs="Arial"/>
          <w:b w:val="0"/>
          <w:sz w:val="22"/>
          <w:szCs w:val="22"/>
        </w:rPr>
        <w:t>der for a referral to be accepted and the EHH Referral Form requires your client/s signature to confirm this consent.</w:t>
      </w:r>
    </w:p>
    <w:p w:rsidR="00A70D10" w:rsidRDefault="00A70D10" w:rsidP="00F27A82">
      <w:pPr>
        <w:rPr>
          <w:rFonts w:ascii="Arial" w:hAnsi="Arial" w:cs="Arial"/>
          <w:b w:val="0"/>
          <w:sz w:val="22"/>
          <w:szCs w:val="22"/>
        </w:rPr>
      </w:pPr>
    </w:p>
    <w:p w:rsidR="00A70D10" w:rsidRDefault="00A70D10" w:rsidP="00F27A82">
      <w:pPr>
        <w:rPr>
          <w:rFonts w:ascii="Arial" w:hAnsi="Arial" w:cs="Arial"/>
          <w:b w:val="0"/>
          <w:sz w:val="22"/>
          <w:szCs w:val="22"/>
        </w:rPr>
      </w:pPr>
      <w:r>
        <w:rPr>
          <w:rFonts w:ascii="Arial" w:hAnsi="Arial" w:cs="Arial"/>
          <w:b w:val="0"/>
          <w:sz w:val="22"/>
          <w:szCs w:val="22"/>
        </w:rPr>
        <w:t xml:space="preserve">The Stronger Families Stronger Communities Programme in Brighton and Hove is funded by a </w:t>
      </w:r>
      <w:r w:rsidRPr="0075426E">
        <w:rPr>
          <w:rFonts w:ascii="Arial" w:hAnsi="Arial" w:cs="Arial"/>
          <w:b w:val="0"/>
          <w:color w:val="auto"/>
          <w:sz w:val="22"/>
          <w:szCs w:val="22"/>
        </w:rPr>
        <w:t>n</w:t>
      </w:r>
      <w:r w:rsidR="0075426E" w:rsidRPr="0075426E">
        <w:rPr>
          <w:rFonts w:ascii="Arial" w:hAnsi="Arial" w:cs="Arial"/>
          <w:b w:val="0"/>
          <w:color w:val="auto"/>
          <w:sz w:val="22"/>
          <w:szCs w:val="22"/>
        </w:rPr>
        <w:t>a</w:t>
      </w:r>
      <w:r w:rsidRPr="0075426E">
        <w:rPr>
          <w:rFonts w:ascii="Arial" w:hAnsi="Arial" w:cs="Arial"/>
          <w:b w:val="0"/>
          <w:color w:val="auto"/>
          <w:sz w:val="22"/>
          <w:szCs w:val="22"/>
        </w:rPr>
        <w:t>tional</w:t>
      </w:r>
      <w:r>
        <w:rPr>
          <w:rFonts w:ascii="Arial" w:hAnsi="Arial" w:cs="Arial"/>
          <w:b w:val="0"/>
          <w:sz w:val="22"/>
          <w:szCs w:val="22"/>
        </w:rPr>
        <w:t xml:space="preserve"> programme with which client information is shared for the purposes of an anonymised national report. The information is shared securely and no information is ever reported that could in anyway identify any family or client. The Early Help Hub screens all referrals for eligibility to this programme which means families receiving support from the Hub may be eligible for the programme and therefore have their information shared as outlined.  Please use the Early Help Hub Privacy Notice (you can download this from the Early Help Hub web page) which outlines this and is designed to be discussed and then left with the family should they decide in the future to revoke their consent to have their information stored and shared in this way.</w:t>
      </w:r>
    </w:p>
    <w:p w:rsidR="00B74332" w:rsidRPr="00EA7B30" w:rsidRDefault="00B74332" w:rsidP="00F27A82">
      <w:pPr>
        <w:rPr>
          <w:rFonts w:ascii="Arial" w:hAnsi="Arial" w:cs="Arial"/>
          <w:b w:val="0"/>
          <w:sz w:val="22"/>
          <w:szCs w:val="22"/>
        </w:rPr>
      </w:pPr>
    </w:p>
    <w:p w:rsidR="00F27A82" w:rsidRPr="00EA7B30" w:rsidRDefault="00F27A82" w:rsidP="00F27A82">
      <w:pPr>
        <w:rPr>
          <w:rFonts w:ascii="Arial" w:hAnsi="Arial" w:cs="Arial"/>
          <w:b w:val="0"/>
          <w:sz w:val="22"/>
          <w:szCs w:val="22"/>
        </w:rPr>
      </w:pPr>
      <w:r w:rsidRPr="00EA7B30">
        <w:rPr>
          <w:rFonts w:ascii="Arial" w:hAnsi="Arial" w:cs="Arial"/>
          <w:b w:val="0"/>
          <w:sz w:val="22"/>
          <w:szCs w:val="22"/>
        </w:rPr>
        <w:t xml:space="preserve">The Early Help Referral Form can be downloaded from the Early Help page of the Council’s website here </w:t>
      </w:r>
      <w:hyperlink r:id="rId9" w:history="1">
        <w:r w:rsidRPr="00EA7B30">
          <w:rPr>
            <w:rStyle w:val="Hyperlink"/>
            <w:rFonts w:ascii="Arial" w:hAnsi="Arial" w:cs="Arial"/>
            <w:b w:val="0"/>
            <w:sz w:val="22"/>
            <w:szCs w:val="22"/>
          </w:rPr>
          <w:t>http://www.brighton-hove.gov.uk/content/children-and-education/childrens-services/early-help</w:t>
        </w:r>
      </w:hyperlink>
    </w:p>
    <w:p w:rsidR="00F27A82" w:rsidRDefault="00F27A82" w:rsidP="00F27A82">
      <w:pPr>
        <w:rPr>
          <w:rFonts w:ascii="Arial" w:hAnsi="Arial" w:cs="Arial"/>
          <w:b w:val="0"/>
          <w:sz w:val="22"/>
          <w:szCs w:val="22"/>
        </w:rPr>
      </w:pPr>
    </w:p>
    <w:p w:rsidR="00F27A82" w:rsidRPr="00EA7B30" w:rsidRDefault="00F27A82" w:rsidP="00F27A82">
      <w:pPr>
        <w:rPr>
          <w:rFonts w:ascii="Arial" w:hAnsi="Arial" w:cs="Arial"/>
          <w:b w:val="0"/>
          <w:sz w:val="22"/>
          <w:szCs w:val="22"/>
        </w:rPr>
      </w:pPr>
    </w:p>
    <w:p w:rsidR="00F27A82" w:rsidRPr="007B7AB4" w:rsidRDefault="00F27A82" w:rsidP="00F27A82">
      <w:pPr>
        <w:rPr>
          <w:rFonts w:ascii="Arial" w:hAnsi="Arial" w:cs="Arial"/>
          <w:b w:val="0"/>
          <w:sz w:val="24"/>
        </w:rPr>
      </w:pPr>
      <w:r w:rsidRPr="007B7AB4">
        <w:rPr>
          <w:rFonts w:ascii="Arial" w:hAnsi="Arial" w:cs="Arial"/>
          <w:b w:val="0"/>
          <w:sz w:val="24"/>
        </w:rPr>
        <w:t>Asking for consent from young people</w:t>
      </w:r>
    </w:p>
    <w:p w:rsidR="00DE4242" w:rsidRDefault="008538CC" w:rsidP="00DE4242">
      <w:pPr>
        <w:rPr>
          <w:rFonts w:ascii="Arial" w:hAnsi="Arial" w:cs="Arial"/>
          <w:b w:val="0"/>
          <w:sz w:val="22"/>
          <w:szCs w:val="22"/>
        </w:rPr>
      </w:pPr>
      <w:r w:rsidRPr="00EA7B30">
        <w:rPr>
          <w:rFonts w:ascii="Arial" w:hAnsi="Arial" w:cs="Arial"/>
          <w:b w:val="0"/>
          <w:sz w:val="22"/>
          <w:szCs w:val="22"/>
        </w:rPr>
        <w:t>If there are young people in the family you are supporting then you may need to ask for their specific consent. Young people aged over 13 years should be asked for their consent. In some circumstances you may be supporting a young person aged over 13 years to be the subject of a referral to the Hub without their parent/carer’s consent.</w:t>
      </w:r>
      <w:r w:rsidR="00227059">
        <w:rPr>
          <w:rFonts w:ascii="Arial" w:hAnsi="Arial" w:cs="Arial"/>
          <w:b w:val="0"/>
          <w:sz w:val="22"/>
          <w:szCs w:val="22"/>
        </w:rPr>
        <w:t xml:space="preserve"> </w:t>
      </w:r>
      <w:r w:rsidR="00227059" w:rsidRPr="0075426E">
        <w:rPr>
          <w:rFonts w:ascii="Arial" w:hAnsi="Arial" w:cs="Arial"/>
          <w:b w:val="0"/>
          <w:color w:val="auto"/>
          <w:sz w:val="22"/>
          <w:szCs w:val="22"/>
        </w:rPr>
        <w:t xml:space="preserve">For example a young person wants to get support around drug and alcohol use or issues to do with relationships and sex but doesn’t want their parents/family know. </w:t>
      </w:r>
      <w:r w:rsidR="009C4B71" w:rsidRPr="0075426E">
        <w:rPr>
          <w:rFonts w:ascii="Arial" w:hAnsi="Arial" w:cs="Arial"/>
          <w:b w:val="0"/>
          <w:color w:val="auto"/>
          <w:sz w:val="22"/>
          <w:szCs w:val="22"/>
        </w:rPr>
        <w:t xml:space="preserve">You may encourage the young person to talk to their parents/cares about he issue but they have the right to insist upon support without that permission if they </w:t>
      </w:r>
      <w:r w:rsidR="009C4B71" w:rsidRPr="0075426E">
        <w:rPr>
          <w:rFonts w:ascii="Arial" w:hAnsi="Arial" w:cs="Arial"/>
          <w:b w:val="0"/>
          <w:color w:val="auto"/>
          <w:sz w:val="22"/>
          <w:szCs w:val="22"/>
        </w:rPr>
        <w:lastRenderedPageBreak/>
        <w:t>choose. You as a professional will need to make a judgement in this instance about that young person’s capacity to make an informed decision about consent to receive the service.</w:t>
      </w:r>
    </w:p>
    <w:p w:rsidR="0056466F" w:rsidRPr="00EA7B30" w:rsidRDefault="0056466F" w:rsidP="00DE4242">
      <w:pPr>
        <w:rPr>
          <w:rFonts w:ascii="Arial" w:hAnsi="Arial" w:cs="Arial"/>
          <w:b w:val="0"/>
          <w:sz w:val="22"/>
          <w:szCs w:val="22"/>
        </w:rPr>
      </w:pPr>
    </w:p>
    <w:p w:rsidR="00DE4242" w:rsidRPr="0056466F" w:rsidRDefault="008538CC" w:rsidP="00DE4242">
      <w:pPr>
        <w:rPr>
          <w:rFonts w:ascii="Arial" w:hAnsi="Arial" w:cs="Arial"/>
          <w:b w:val="0"/>
          <w:sz w:val="24"/>
        </w:rPr>
      </w:pPr>
      <w:r w:rsidRPr="0056466F">
        <w:rPr>
          <w:rFonts w:ascii="Arial" w:hAnsi="Arial" w:cs="Arial"/>
          <w:b w:val="0"/>
          <w:sz w:val="24"/>
        </w:rPr>
        <w:t>How do I judge whether or not a young person is competent to give/refuse their consent</w:t>
      </w:r>
      <w:r w:rsidR="0056466F" w:rsidRPr="0056466F">
        <w:rPr>
          <w:rFonts w:ascii="Arial" w:hAnsi="Arial" w:cs="Arial"/>
          <w:b w:val="0"/>
          <w:sz w:val="24"/>
        </w:rPr>
        <w:t>?</w:t>
      </w:r>
    </w:p>
    <w:p w:rsidR="008538CC" w:rsidRPr="00EA7B30" w:rsidRDefault="008538CC" w:rsidP="00DE4242">
      <w:pPr>
        <w:rPr>
          <w:rFonts w:ascii="Arial" w:hAnsi="Arial" w:cs="Arial"/>
          <w:b w:val="0"/>
          <w:sz w:val="22"/>
          <w:szCs w:val="22"/>
        </w:rPr>
      </w:pPr>
      <w:r w:rsidRPr="00EA7B30">
        <w:rPr>
          <w:rFonts w:ascii="Arial" w:hAnsi="Arial" w:cs="Arial"/>
          <w:b w:val="0"/>
          <w:sz w:val="22"/>
          <w:szCs w:val="22"/>
        </w:rPr>
        <w:t>Practitioners who work with young people use the test of Fraser competence to help them make a good judgement</w:t>
      </w:r>
    </w:p>
    <w:p w:rsidR="008538CC" w:rsidRPr="00EA7B30" w:rsidRDefault="008538CC" w:rsidP="00DE4242">
      <w:pPr>
        <w:rPr>
          <w:rFonts w:ascii="Arial" w:hAnsi="Arial" w:cs="Arial"/>
          <w:b w:val="0"/>
          <w:sz w:val="22"/>
          <w:szCs w:val="22"/>
        </w:rPr>
      </w:pPr>
    </w:p>
    <w:p w:rsidR="00DE4242" w:rsidRPr="00EA7B30" w:rsidRDefault="008538CC" w:rsidP="00DE4242">
      <w:pPr>
        <w:rPr>
          <w:rFonts w:ascii="Arial" w:hAnsi="Arial" w:cs="Arial"/>
          <w:b w:val="0"/>
          <w:sz w:val="22"/>
          <w:szCs w:val="22"/>
        </w:rPr>
      </w:pPr>
      <w:r w:rsidRPr="00EA7B30">
        <w:rPr>
          <w:rFonts w:ascii="Arial" w:hAnsi="Arial" w:cs="Arial"/>
          <w:b w:val="0"/>
          <w:sz w:val="22"/>
          <w:szCs w:val="22"/>
        </w:rPr>
        <w:t>T</w:t>
      </w:r>
      <w:r w:rsidR="00DE4242" w:rsidRPr="00EA7B30">
        <w:rPr>
          <w:rFonts w:ascii="Arial" w:hAnsi="Arial" w:cs="Arial"/>
          <w:b w:val="0"/>
          <w:sz w:val="22"/>
          <w:szCs w:val="22"/>
        </w:rPr>
        <w:t>est of Fraser competence</w:t>
      </w:r>
      <w:r w:rsidRPr="00EA7B30">
        <w:rPr>
          <w:rFonts w:ascii="Arial" w:hAnsi="Arial" w:cs="Arial"/>
          <w:b w:val="0"/>
          <w:sz w:val="22"/>
          <w:szCs w:val="22"/>
        </w:rPr>
        <w:t xml:space="preserve"> </w:t>
      </w:r>
      <w:r w:rsidR="00DE4242" w:rsidRPr="00EA7B30">
        <w:rPr>
          <w:rFonts w:ascii="Arial" w:hAnsi="Arial" w:cs="Arial"/>
          <w:b w:val="0"/>
          <w:sz w:val="22"/>
          <w:szCs w:val="22"/>
        </w:rPr>
        <w:t>(Previously known as Gillick competence)</w:t>
      </w:r>
    </w:p>
    <w:p w:rsidR="00DE4242" w:rsidRPr="00EA7B30" w:rsidRDefault="00DE4242" w:rsidP="00DE4242">
      <w:pPr>
        <w:jc w:val="both"/>
        <w:rPr>
          <w:rFonts w:ascii="Arial" w:hAnsi="Arial" w:cs="Arial"/>
          <w:b w:val="0"/>
          <w:sz w:val="22"/>
          <w:szCs w:val="22"/>
        </w:rPr>
      </w:pPr>
    </w:p>
    <w:p w:rsidR="00DE4242" w:rsidRPr="00EA7B30" w:rsidRDefault="00DE4242" w:rsidP="00DE4242">
      <w:pPr>
        <w:ind w:right="-766"/>
        <w:jc w:val="both"/>
        <w:rPr>
          <w:rFonts w:ascii="Arial" w:hAnsi="Arial" w:cs="Arial"/>
          <w:b w:val="0"/>
          <w:sz w:val="22"/>
          <w:szCs w:val="22"/>
        </w:rPr>
      </w:pPr>
      <w:r w:rsidRPr="00EA7B30">
        <w:rPr>
          <w:rFonts w:ascii="Arial" w:hAnsi="Arial" w:cs="Arial"/>
          <w:b w:val="0"/>
          <w:sz w:val="22"/>
          <w:szCs w:val="22"/>
        </w:rPr>
        <w:t>Who does the test apply to?</w:t>
      </w:r>
    </w:p>
    <w:p w:rsidR="00DE4242" w:rsidRPr="00EA7B30" w:rsidRDefault="00DE4242" w:rsidP="008538CC">
      <w:pPr>
        <w:numPr>
          <w:ilvl w:val="0"/>
          <w:numId w:val="1"/>
        </w:numPr>
        <w:tabs>
          <w:tab w:val="clear" w:pos="720"/>
          <w:tab w:val="num" w:pos="-567"/>
        </w:tabs>
        <w:ind w:right="-766" w:hanging="720"/>
        <w:jc w:val="both"/>
        <w:rPr>
          <w:rFonts w:ascii="Arial" w:hAnsi="Arial" w:cs="Arial"/>
          <w:b w:val="0"/>
          <w:sz w:val="22"/>
          <w:szCs w:val="22"/>
        </w:rPr>
      </w:pPr>
      <w:r w:rsidRPr="00EA7B30">
        <w:rPr>
          <w:rFonts w:ascii="Arial" w:hAnsi="Arial" w:cs="Arial"/>
          <w:b w:val="0"/>
          <w:sz w:val="22"/>
          <w:szCs w:val="22"/>
        </w:rPr>
        <w:t>A child or young person can give their consent to share information if the practitioner judges that the child is competent.</w:t>
      </w:r>
    </w:p>
    <w:p w:rsidR="008538CC" w:rsidRPr="00EA7B30" w:rsidRDefault="00DE4242" w:rsidP="00DE4242">
      <w:pPr>
        <w:numPr>
          <w:ilvl w:val="0"/>
          <w:numId w:val="1"/>
        </w:numPr>
        <w:tabs>
          <w:tab w:val="clear" w:pos="720"/>
          <w:tab w:val="num" w:pos="-567"/>
        </w:tabs>
        <w:ind w:left="0" w:right="-766" w:firstLine="0"/>
        <w:jc w:val="both"/>
        <w:rPr>
          <w:rFonts w:ascii="Arial" w:hAnsi="Arial" w:cs="Arial"/>
          <w:b w:val="0"/>
          <w:sz w:val="22"/>
          <w:szCs w:val="22"/>
        </w:rPr>
      </w:pPr>
      <w:r w:rsidRPr="00EA7B30">
        <w:rPr>
          <w:rFonts w:ascii="Arial" w:hAnsi="Arial" w:cs="Arial"/>
          <w:b w:val="0"/>
          <w:sz w:val="22"/>
          <w:szCs w:val="22"/>
        </w:rPr>
        <w:t xml:space="preserve">As a rule of thumb it is generally applicable to children over the age of </w:t>
      </w:r>
    </w:p>
    <w:p w:rsidR="00DE4242" w:rsidRPr="00EA7B30" w:rsidRDefault="00DE4242" w:rsidP="008538CC">
      <w:pPr>
        <w:ind w:right="-766" w:firstLine="720"/>
        <w:jc w:val="both"/>
        <w:rPr>
          <w:rFonts w:ascii="Arial" w:hAnsi="Arial" w:cs="Arial"/>
          <w:b w:val="0"/>
          <w:sz w:val="22"/>
          <w:szCs w:val="22"/>
        </w:rPr>
      </w:pPr>
      <w:r w:rsidRPr="00EA7B30">
        <w:rPr>
          <w:rFonts w:ascii="Arial" w:hAnsi="Arial" w:cs="Arial"/>
          <w:b w:val="0"/>
          <w:sz w:val="22"/>
          <w:szCs w:val="22"/>
        </w:rPr>
        <w:t>13 years.</w:t>
      </w:r>
    </w:p>
    <w:p w:rsidR="00DE4242" w:rsidRPr="00EA7B30" w:rsidRDefault="00DE4242" w:rsidP="00DE4242">
      <w:pPr>
        <w:ind w:right="-766"/>
        <w:jc w:val="both"/>
        <w:rPr>
          <w:rFonts w:ascii="Arial" w:hAnsi="Arial" w:cs="Arial"/>
          <w:b w:val="0"/>
          <w:sz w:val="22"/>
          <w:szCs w:val="22"/>
        </w:rPr>
      </w:pPr>
    </w:p>
    <w:p w:rsidR="00DE4242" w:rsidRPr="00EA7B30" w:rsidRDefault="00DE4242" w:rsidP="00DE4242">
      <w:pPr>
        <w:ind w:right="-766"/>
        <w:jc w:val="both"/>
        <w:rPr>
          <w:rFonts w:ascii="Arial" w:hAnsi="Arial" w:cs="Arial"/>
          <w:b w:val="0"/>
          <w:sz w:val="22"/>
          <w:szCs w:val="22"/>
        </w:rPr>
      </w:pPr>
      <w:r w:rsidRPr="00EA7B30">
        <w:rPr>
          <w:rFonts w:ascii="Arial" w:hAnsi="Arial" w:cs="Arial"/>
          <w:b w:val="0"/>
          <w:sz w:val="22"/>
          <w:szCs w:val="22"/>
        </w:rPr>
        <w:t>How is Fraser competence assessed?</w:t>
      </w:r>
    </w:p>
    <w:p w:rsidR="00DE4242" w:rsidRPr="00EA7B30" w:rsidRDefault="00DE4242" w:rsidP="008538CC">
      <w:pPr>
        <w:numPr>
          <w:ilvl w:val="0"/>
          <w:numId w:val="2"/>
        </w:numPr>
        <w:tabs>
          <w:tab w:val="clear" w:pos="720"/>
          <w:tab w:val="num" w:pos="-567"/>
        </w:tabs>
        <w:ind w:left="0" w:right="-766" w:firstLine="0"/>
        <w:jc w:val="both"/>
        <w:rPr>
          <w:rFonts w:ascii="Arial" w:hAnsi="Arial" w:cs="Arial"/>
          <w:b w:val="0"/>
          <w:sz w:val="22"/>
          <w:szCs w:val="22"/>
        </w:rPr>
      </w:pPr>
      <w:r w:rsidRPr="00EA7B30">
        <w:rPr>
          <w:rFonts w:ascii="Arial" w:hAnsi="Arial" w:cs="Arial"/>
          <w:b w:val="0"/>
          <w:sz w:val="22"/>
          <w:szCs w:val="22"/>
        </w:rPr>
        <w:t>Can the child/young person understand the question being asked of them?</w:t>
      </w:r>
    </w:p>
    <w:p w:rsidR="00DE4242" w:rsidRPr="00EA7B30" w:rsidRDefault="00DE4242" w:rsidP="008538CC">
      <w:pPr>
        <w:numPr>
          <w:ilvl w:val="0"/>
          <w:numId w:val="2"/>
        </w:numPr>
        <w:tabs>
          <w:tab w:val="clear" w:pos="720"/>
          <w:tab w:val="num" w:pos="-567"/>
        </w:tabs>
        <w:ind w:right="-766" w:hanging="720"/>
        <w:jc w:val="both"/>
        <w:rPr>
          <w:rFonts w:ascii="Arial" w:hAnsi="Arial" w:cs="Arial"/>
          <w:b w:val="0"/>
          <w:sz w:val="22"/>
          <w:szCs w:val="22"/>
        </w:rPr>
      </w:pPr>
      <w:r w:rsidRPr="00EA7B30">
        <w:rPr>
          <w:rFonts w:ascii="Arial" w:hAnsi="Arial" w:cs="Arial"/>
          <w:b w:val="0"/>
          <w:sz w:val="22"/>
          <w:szCs w:val="22"/>
        </w:rPr>
        <w:t>Does the child/young person have a reasonable understanding of what information will be shared, the main reasons for sharing it and the consequences of sharing or not sharing the information?</w:t>
      </w:r>
    </w:p>
    <w:p w:rsidR="00DE4242" w:rsidRPr="00EA7B30" w:rsidRDefault="00DE4242" w:rsidP="00DE4242">
      <w:pPr>
        <w:numPr>
          <w:ilvl w:val="0"/>
          <w:numId w:val="2"/>
        </w:numPr>
        <w:tabs>
          <w:tab w:val="clear" w:pos="720"/>
          <w:tab w:val="num" w:pos="-567"/>
        </w:tabs>
        <w:ind w:right="-766" w:hanging="720"/>
        <w:jc w:val="both"/>
        <w:rPr>
          <w:rFonts w:ascii="Arial" w:hAnsi="Arial" w:cs="Arial"/>
          <w:b w:val="0"/>
          <w:sz w:val="22"/>
          <w:szCs w:val="22"/>
        </w:rPr>
      </w:pPr>
      <w:r w:rsidRPr="00EA7B30">
        <w:rPr>
          <w:rFonts w:ascii="Arial" w:hAnsi="Arial" w:cs="Arial"/>
          <w:b w:val="0"/>
          <w:sz w:val="22"/>
          <w:szCs w:val="22"/>
        </w:rPr>
        <w:t>Can the child/young person consider the alternatives and we</w:t>
      </w:r>
      <w:r w:rsidR="008538CC" w:rsidRPr="00EA7B30">
        <w:rPr>
          <w:rFonts w:ascii="Arial" w:hAnsi="Arial" w:cs="Arial"/>
          <w:b w:val="0"/>
          <w:sz w:val="22"/>
          <w:szCs w:val="22"/>
        </w:rPr>
        <w:t>igh up the different situations?</w:t>
      </w:r>
    </w:p>
    <w:p w:rsidR="00DE4242" w:rsidRPr="00EA7B30" w:rsidRDefault="00DE4242" w:rsidP="00DE4242">
      <w:pPr>
        <w:numPr>
          <w:ilvl w:val="0"/>
          <w:numId w:val="2"/>
        </w:numPr>
        <w:tabs>
          <w:tab w:val="clear" w:pos="720"/>
          <w:tab w:val="num" w:pos="-567"/>
        </w:tabs>
        <w:ind w:left="0" w:right="-766" w:firstLine="0"/>
        <w:jc w:val="both"/>
        <w:rPr>
          <w:rFonts w:ascii="Arial" w:hAnsi="Arial" w:cs="Arial"/>
          <w:b w:val="0"/>
          <w:sz w:val="22"/>
          <w:szCs w:val="22"/>
        </w:rPr>
      </w:pPr>
      <w:r w:rsidRPr="00EA7B30">
        <w:rPr>
          <w:rFonts w:ascii="Arial" w:hAnsi="Arial" w:cs="Arial"/>
          <w:b w:val="0"/>
          <w:sz w:val="22"/>
          <w:szCs w:val="22"/>
        </w:rPr>
        <w:t>Can the child/young person give a personal view of the situation?</w:t>
      </w:r>
    </w:p>
    <w:p w:rsidR="00DE4242" w:rsidRPr="00EA7B30" w:rsidRDefault="00DE4242" w:rsidP="00DE4242">
      <w:pPr>
        <w:numPr>
          <w:ilvl w:val="0"/>
          <w:numId w:val="2"/>
        </w:numPr>
        <w:tabs>
          <w:tab w:val="clear" w:pos="720"/>
          <w:tab w:val="num" w:pos="-567"/>
        </w:tabs>
        <w:ind w:left="0" w:right="-766" w:firstLine="0"/>
        <w:jc w:val="both"/>
        <w:rPr>
          <w:rFonts w:ascii="Arial" w:hAnsi="Arial" w:cs="Arial"/>
          <w:b w:val="0"/>
          <w:sz w:val="22"/>
          <w:szCs w:val="22"/>
        </w:rPr>
      </w:pPr>
      <w:r w:rsidRPr="00EA7B30">
        <w:rPr>
          <w:rFonts w:ascii="Arial" w:hAnsi="Arial" w:cs="Arial"/>
          <w:b w:val="0"/>
          <w:sz w:val="22"/>
          <w:szCs w:val="22"/>
        </w:rPr>
        <w:t>Is the child/young person giving a consistent view on the matter?</w:t>
      </w:r>
    </w:p>
    <w:p w:rsidR="00DE4242" w:rsidRPr="00EA7B30" w:rsidRDefault="00DE4242" w:rsidP="00DE4242">
      <w:pPr>
        <w:ind w:right="-766"/>
        <w:jc w:val="both"/>
        <w:rPr>
          <w:rFonts w:ascii="Arial" w:hAnsi="Arial" w:cs="Arial"/>
          <w:b w:val="0"/>
          <w:sz w:val="22"/>
          <w:szCs w:val="22"/>
        </w:rPr>
      </w:pPr>
    </w:p>
    <w:p w:rsidR="00DE4242" w:rsidRPr="00EA7B30" w:rsidRDefault="00DE4242" w:rsidP="00DE4242">
      <w:pPr>
        <w:ind w:right="-766"/>
        <w:jc w:val="both"/>
        <w:rPr>
          <w:rFonts w:ascii="Arial" w:hAnsi="Arial" w:cs="Arial"/>
          <w:b w:val="0"/>
          <w:sz w:val="22"/>
          <w:szCs w:val="22"/>
        </w:rPr>
      </w:pPr>
      <w:r w:rsidRPr="00EA7B30">
        <w:rPr>
          <w:rFonts w:ascii="Arial" w:hAnsi="Arial" w:cs="Arial"/>
          <w:b w:val="0"/>
          <w:sz w:val="22"/>
          <w:szCs w:val="22"/>
        </w:rPr>
        <w:t>What if parents/carers disagree?</w:t>
      </w:r>
    </w:p>
    <w:p w:rsidR="00DE4242" w:rsidRPr="00EA7B30" w:rsidRDefault="00DE4242" w:rsidP="00DE4242">
      <w:pPr>
        <w:numPr>
          <w:ilvl w:val="0"/>
          <w:numId w:val="3"/>
        </w:numPr>
        <w:tabs>
          <w:tab w:val="clear" w:pos="720"/>
          <w:tab w:val="num" w:pos="-567"/>
        </w:tabs>
        <w:ind w:left="0" w:right="-766" w:firstLine="0"/>
        <w:jc w:val="both"/>
        <w:rPr>
          <w:rFonts w:ascii="Arial" w:hAnsi="Arial" w:cs="Arial"/>
          <w:b w:val="0"/>
          <w:sz w:val="22"/>
          <w:szCs w:val="22"/>
        </w:rPr>
      </w:pPr>
      <w:r w:rsidRPr="00EA7B30">
        <w:rPr>
          <w:rFonts w:ascii="Arial" w:hAnsi="Arial" w:cs="Arial"/>
          <w:b w:val="0"/>
          <w:sz w:val="22"/>
          <w:szCs w:val="22"/>
        </w:rPr>
        <w:t>Parents/carers should be included in discussion wherever possible.</w:t>
      </w:r>
    </w:p>
    <w:p w:rsidR="00DE4242" w:rsidRPr="00EA7B30" w:rsidRDefault="00DE4242" w:rsidP="00DE4242">
      <w:pPr>
        <w:numPr>
          <w:ilvl w:val="0"/>
          <w:numId w:val="3"/>
        </w:numPr>
        <w:tabs>
          <w:tab w:val="clear" w:pos="720"/>
          <w:tab w:val="num" w:pos="-567"/>
        </w:tabs>
        <w:ind w:right="-766" w:hanging="720"/>
        <w:jc w:val="both"/>
        <w:rPr>
          <w:rFonts w:ascii="Arial" w:hAnsi="Arial" w:cs="Arial"/>
          <w:b w:val="0"/>
          <w:sz w:val="22"/>
          <w:szCs w:val="22"/>
        </w:rPr>
      </w:pPr>
      <w:r w:rsidRPr="00EA7B30">
        <w:rPr>
          <w:rFonts w:ascii="Arial" w:hAnsi="Arial" w:cs="Arial"/>
          <w:b w:val="0"/>
          <w:sz w:val="22"/>
          <w:szCs w:val="22"/>
        </w:rPr>
        <w:t>It is good practice to consider the views of both child/young person and parents/carers in any decisions about the sharing of their information.</w:t>
      </w:r>
    </w:p>
    <w:p w:rsidR="00DE4242" w:rsidRPr="00EA7B30" w:rsidRDefault="00DE4242" w:rsidP="00DE4242">
      <w:pPr>
        <w:numPr>
          <w:ilvl w:val="0"/>
          <w:numId w:val="3"/>
        </w:numPr>
        <w:tabs>
          <w:tab w:val="clear" w:pos="720"/>
          <w:tab w:val="num" w:pos="-567"/>
        </w:tabs>
        <w:ind w:right="-766" w:hanging="720"/>
        <w:jc w:val="both"/>
        <w:rPr>
          <w:rFonts w:ascii="Arial" w:hAnsi="Arial" w:cs="Arial"/>
          <w:b w:val="0"/>
          <w:sz w:val="22"/>
          <w:szCs w:val="22"/>
        </w:rPr>
      </w:pPr>
      <w:r w:rsidRPr="00EA7B30">
        <w:rPr>
          <w:rFonts w:ascii="Arial" w:hAnsi="Arial" w:cs="Arial"/>
          <w:b w:val="0"/>
          <w:sz w:val="22"/>
          <w:szCs w:val="22"/>
        </w:rPr>
        <w:t>Ultimately, if a competent child/young person and their parents/carers differ in their views, the competent child/young person’s wishes should be respected.</w:t>
      </w:r>
    </w:p>
    <w:p w:rsidR="00DE4242" w:rsidRPr="00EA7B30" w:rsidRDefault="00DE4242" w:rsidP="00DE4242">
      <w:pPr>
        <w:ind w:right="-766"/>
        <w:jc w:val="both"/>
        <w:rPr>
          <w:rFonts w:ascii="Arial" w:hAnsi="Arial" w:cs="Arial"/>
          <w:b w:val="0"/>
          <w:sz w:val="22"/>
          <w:szCs w:val="22"/>
        </w:rPr>
      </w:pPr>
    </w:p>
    <w:p w:rsidR="00DE4242" w:rsidRPr="00EA7B30" w:rsidRDefault="00DE4242" w:rsidP="00DE4242">
      <w:pPr>
        <w:ind w:right="-766"/>
        <w:jc w:val="both"/>
        <w:rPr>
          <w:rFonts w:ascii="Arial" w:hAnsi="Arial" w:cs="Arial"/>
          <w:b w:val="0"/>
          <w:sz w:val="22"/>
          <w:szCs w:val="22"/>
        </w:rPr>
      </w:pPr>
      <w:r w:rsidRPr="00EA7B30">
        <w:rPr>
          <w:rFonts w:ascii="Arial" w:hAnsi="Arial" w:cs="Arial"/>
          <w:b w:val="0"/>
          <w:sz w:val="22"/>
          <w:szCs w:val="22"/>
        </w:rPr>
        <w:t>Do parents need to be informed?</w:t>
      </w:r>
    </w:p>
    <w:p w:rsidR="00DE4242" w:rsidRPr="00EA7B30" w:rsidRDefault="00DE4242" w:rsidP="00DE4242">
      <w:pPr>
        <w:numPr>
          <w:ilvl w:val="0"/>
          <w:numId w:val="4"/>
        </w:numPr>
        <w:ind w:left="720" w:right="-766" w:hanging="720"/>
        <w:jc w:val="both"/>
        <w:rPr>
          <w:rFonts w:ascii="Arial" w:hAnsi="Arial" w:cs="Arial"/>
          <w:b w:val="0"/>
          <w:sz w:val="22"/>
          <w:szCs w:val="22"/>
        </w:rPr>
      </w:pPr>
      <w:r w:rsidRPr="00EA7B30">
        <w:rPr>
          <w:rFonts w:ascii="Arial" w:hAnsi="Arial" w:cs="Arial"/>
          <w:b w:val="0"/>
          <w:sz w:val="22"/>
          <w:szCs w:val="22"/>
        </w:rPr>
        <w:t>It is not necessary to inform parents/carers if it is against the wishes of the competent child/young person and the practitioner judges that the child/young person’s wishes can be respected.</w:t>
      </w:r>
    </w:p>
    <w:p w:rsidR="00DE4242" w:rsidRPr="00EA7B30" w:rsidRDefault="00DE4242" w:rsidP="00DE4242">
      <w:pPr>
        <w:numPr>
          <w:ilvl w:val="0"/>
          <w:numId w:val="4"/>
        </w:numPr>
        <w:ind w:left="720" w:right="-766" w:hanging="720"/>
        <w:jc w:val="both"/>
        <w:rPr>
          <w:rFonts w:ascii="Arial" w:hAnsi="Arial" w:cs="Arial"/>
          <w:b w:val="0"/>
          <w:sz w:val="22"/>
          <w:szCs w:val="22"/>
        </w:rPr>
      </w:pPr>
      <w:r w:rsidRPr="00EA7B30">
        <w:rPr>
          <w:rFonts w:ascii="Arial" w:hAnsi="Arial" w:cs="Arial"/>
          <w:b w:val="0"/>
          <w:sz w:val="22"/>
          <w:szCs w:val="22"/>
        </w:rPr>
        <w:t xml:space="preserve">It is not necessary to inform parents/carers if this could place the child/young person at increased risk of harm. </w:t>
      </w:r>
    </w:p>
    <w:p w:rsidR="008B56FC" w:rsidRDefault="008B56FC">
      <w:pPr>
        <w:rPr>
          <w:b w:val="0"/>
          <w:sz w:val="22"/>
          <w:szCs w:val="22"/>
        </w:rPr>
      </w:pPr>
    </w:p>
    <w:p w:rsidR="008A649E" w:rsidRPr="001C2672" w:rsidRDefault="001C2672">
      <w:pPr>
        <w:rPr>
          <w:b w:val="0"/>
          <w:sz w:val="24"/>
        </w:rPr>
      </w:pPr>
      <w:r w:rsidRPr="001C2672">
        <w:rPr>
          <w:b w:val="0"/>
          <w:sz w:val="24"/>
        </w:rPr>
        <w:t>Gaining consent from vulnerable adults</w:t>
      </w:r>
    </w:p>
    <w:p w:rsidR="008A649E" w:rsidRDefault="008A649E">
      <w:pPr>
        <w:rPr>
          <w:b w:val="0"/>
          <w:sz w:val="22"/>
          <w:szCs w:val="22"/>
        </w:rPr>
      </w:pPr>
      <w:r>
        <w:rPr>
          <w:b w:val="0"/>
          <w:sz w:val="22"/>
          <w:szCs w:val="22"/>
        </w:rPr>
        <w:t>The Fraser Test of Competence may also prove a useful tool when considering the needs of a vulnerable adult.</w:t>
      </w:r>
    </w:p>
    <w:p w:rsidR="001C2672" w:rsidRDefault="001C2672">
      <w:pPr>
        <w:rPr>
          <w:b w:val="0"/>
          <w:sz w:val="22"/>
          <w:szCs w:val="22"/>
        </w:rPr>
      </w:pPr>
      <w:r>
        <w:rPr>
          <w:b w:val="0"/>
          <w:sz w:val="22"/>
          <w:szCs w:val="22"/>
        </w:rPr>
        <w:t xml:space="preserve">For some excellent practical advice on supporting vulnerable adults to make decisions about consent please see the Mental Capacity Act Code of Practice 2005 here </w:t>
      </w:r>
    </w:p>
    <w:p w:rsidR="0075426E" w:rsidRDefault="0075426E">
      <w:pPr>
        <w:rPr>
          <w:b w:val="0"/>
          <w:sz w:val="22"/>
          <w:szCs w:val="22"/>
        </w:rPr>
      </w:pPr>
      <w:r w:rsidRPr="0075426E">
        <w:rPr>
          <w:b w:val="0"/>
          <w:sz w:val="22"/>
          <w:szCs w:val="22"/>
        </w:rPr>
        <w:t>https://www.gov.uk/government/publications/mental-capacity-act-code-of-practice</w:t>
      </w:r>
    </w:p>
    <w:p w:rsidR="0075426E" w:rsidRDefault="0075426E">
      <w:pPr>
        <w:rPr>
          <w:b w:val="0"/>
          <w:sz w:val="22"/>
          <w:szCs w:val="22"/>
        </w:rPr>
      </w:pPr>
    </w:p>
    <w:p w:rsidR="0075426E" w:rsidRDefault="0075426E">
      <w:pPr>
        <w:rPr>
          <w:b w:val="0"/>
          <w:sz w:val="22"/>
          <w:szCs w:val="22"/>
        </w:rPr>
      </w:pPr>
    </w:p>
    <w:p w:rsidR="0075426E" w:rsidRDefault="0075426E">
      <w:pPr>
        <w:rPr>
          <w:b w:val="0"/>
          <w:sz w:val="20"/>
          <w:szCs w:val="20"/>
        </w:rPr>
      </w:pPr>
    </w:p>
    <w:p w:rsidR="001C2672" w:rsidRPr="001C2672" w:rsidRDefault="001C2672">
      <w:pPr>
        <w:rPr>
          <w:b w:val="0"/>
          <w:sz w:val="20"/>
          <w:szCs w:val="20"/>
        </w:rPr>
      </w:pPr>
    </w:p>
    <w:p w:rsidR="001C2672" w:rsidRDefault="001C2672">
      <w:pPr>
        <w:rPr>
          <w:b w:val="0"/>
          <w:sz w:val="22"/>
          <w:szCs w:val="22"/>
        </w:rPr>
      </w:pPr>
    </w:p>
    <w:p w:rsidR="005843E5" w:rsidRDefault="005843E5" w:rsidP="008A649E">
      <w:pPr>
        <w:rPr>
          <w:rFonts w:ascii="Arial" w:hAnsi="Arial" w:cs="Arial"/>
          <w:b w:val="0"/>
          <w:sz w:val="24"/>
        </w:rPr>
      </w:pPr>
    </w:p>
    <w:p w:rsidR="008A649E" w:rsidRDefault="008A649E" w:rsidP="008A649E">
      <w:pPr>
        <w:rPr>
          <w:rFonts w:ascii="Arial" w:hAnsi="Arial" w:cs="Arial"/>
          <w:b w:val="0"/>
          <w:sz w:val="24"/>
        </w:rPr>
      </w:pPr>
      <w:r>
        <w:rPr>
          <w:rFonts w:ascii="Arial" w:hAnsi="Arial" w:cs="Arial"/>
          <w:b w:val="0"/>
          <w:sz w:val="24"/>
        </w:rPr>
        <w:lastRenderedPageBreak/>
        <w:t>Other adults in the family</w:t>
      </w:r>
    </w:p>
    <w:p w:rsidR="00195641" w:rsidRDefault="00195641" w:rsidP="00195641">
      <w:pPr>
        <w:rPr>
          <w:rFonts w:ascii="Arial" w:hAnsi="Arial" w:cs="Arial"/>
          <w:b w:val="0"/>
          <w:sz w:val="22"/>
          <w:szCs w:val="22"/>
        </w:rPr>
      </w:pPr>
      <w:r>
        <w:rPr>
          <w:rFonts w:ascii="Arial" w:hAnsi="Arial" w:cs="Arial"/>
          <w:b w:val="0"/>
          <w:sz w:val="22"/>
          <w:szCs w:val="22"/>
        </w:rPr>
        <w:t>All adults named in the referral should be asked for their consent to be a part of the referral.</w:t>
      </w:r>
    </w:p>
    <w:p w:rsidR="00A70D10" w:rsidRPr="0075426E" w:rsidRDefault="00A70D10" w:rsidP="00A70D10">
      <w:pPr>
        <w:rPr>
          <w:rFonts w:ascii="Arial" w:hAnsi="Arial" w:cs="Arial"/>
          <w:b w:val="0"/>
          <w:bCs/>
          <w:color w:val="auto"/>
          <w:sz w:val="22"/>
          <w:szCs w:val="22"/>
        </w:rPr>
      </w:pPr>
      <w:r w:rsidRPr="0075426E">
        <w:rPr>
          <w:rFonts w:ascii="Arial" w:hAnsi="Arial" w:cs="Arial"/>
          <w:b w:val="0"/>
          <w:bCs/>
          <w:color w:val="auto"/>
          <w:sz w:val="22"/>
          <w:szCs w:val="22"/>
        </w:rPr>
        <w:t>You should ask for consent from the parents/carer/s in the family, but if there are other adults in the family who are recorded on the Early Help Referral form, it is important to also ask for their consent. As part of the Early Help Hub referral process, information will be added to the referral from Children’s Services databases and we need to know proactively where an adult or young person has refused consent in order not to gather any information about them as part of the referral process.</w:t>
      </w:r>
    </w:p>
    <w:p w:rsidR="0075426E" w:rsidRDefault="0075426E" w:rsidP="00A70D10">
      <w:pPr>
        <w:rPr>
          <w:rFonts w:ascii="Arial" w:hAnsi="Arial" w:cs="Arial"/>
          <w:b w:val="0"/>
          <w:bCs/>
          <w:color w:val="FF0000"/>
        </w:rPr>
      </w:pPr>
    </w:p>
    <w:p w:rsidR="008A649E" w:rsidRPr="0056466F" w:rsidRDefault="008A649E" w:rsidP="008A649E">
      <w:pPr>
        <w:rPr>
          <w:rFonts w:ascii="Arial" w:hAnsi="Arial" w:cs="Arial"/>
          <w:b w:val="0"/>
          <w:sz w:val="24"/>
        </w:rPr>
      </w:pPr>
      <w:r w:rsidRPr="0056466F">
        <w:rPr>
          <w:rFonts w:ascii="Arial" w:hAnsi="Arial" w:cs="Arial"/>
          <w:b w:val="0"/>
          <w:sz w:val="24"/>
        </w:rPr>
        <w:t>What can the client/s do if they change their minds about consent after the referral?</w:t>
      </w:r>
    </w:p>
    <w:p w:rsidR="008A649E" w:rsidRPr="00562D0E" w:rsidRDefault="008A649E" w:rsidP="008A649E">
      <w:pPr>
        <w:rPr>
          <w:rFonts w:ascii="Arial" w:hAnsi="Arial" w:cs="Arial"/>
          <w:b w:val="0"/>
          <w:color w:val="auto"/>
          <w:sz w:val="22"/>
          <w:szCs w:val="22"/>
        </w:rPr>
      </w:pPr>
      <w:r w:rsidRPr="00562D0E">
        <w:rPr>
          <w:rFonts w:ascii="Arial" w:hAnsi="Arial" w:cs="Arial"/>
          <w:b w:val="0"/>
          <w:color w:val="auto"/>
          <w:sz w:val="22"/>
          <w:szCs w:val="22"/>
        </w:rPr>
        <w:t xml:space="preserve">The Early Help Hub </w:t>
      </w:r>
      <w:r w:rsidR="00A70D10">
        <w:rPr>
          <w:rFonts w:ascii="Arial" w:hAnsi="Arial" w:cs="Arial"/>
          <w:b w:val="0"/>
          <w:color w:val="auto"/>
          <w:sz w:val="22"/>
          <w:szCs w:val="22"/>
        </w:rPr>
        <w:t>Privacy Notice</w:t>
      </w:r>
      <w:r w:rsidRPr="00562D0E">
        <w:rPr>
          <w:rFonts w:ascii="Arial" w:hAnsi="Arial" w:cs="Arial"/>
          <w:b w:val="0"/>
          <w:color w:val="auto"/>
          <w:sz w:val="22"/>
          <w:szCs w:val="22"/>
        </w:rPr>
        <w:t xml:space="preserve"> should </w:t>
      </w:r>
      <w:r w:rsidR="00A70D10">
        <w:rPr>
          <w:rFonts w:ascii="Arial" w:hAnsi="Arial" w:cs="Arial"/>
          <w:b w:val="0"/>
          <w:color w:val="auto"/>
          <w:sz w:val="22"/>
          <w:szCs w:val="22"/>
        </w:rPr>
        <w:t xml:space="preserve">be </w:t>
      </w:r>
      <w:r w:rsidRPr="00562D0E">
        <w:rPr>
          <w:rFonts w:ascii="Arial" w:hAnsi="Arial" w:cs="Arial"/>
          <w:b w:val="0"/>
          <w:color w:val="auto"/>
          <w:sz w:val="22"/>
          <w:szCs w:val="22"/>
        </w:rPr>
        <w:t>le</w:t>
      </w:r>
      <w:r w:rsidR="00A70D10">
        <w:rPr>
          <w:rFonts w:ascii="Arial" w:hAnsi="Arial" w:cs="Arial"/>
          <w:b w:val="0"/>
          <w:color w:val="auto"/>
          <w:sz w:val="22"/>
          <w:szCs w:val="22"/>
        </w:rPr>
        <w:t>ft</w:t>
      </w:r>
      <w:r w:rsidRPr="00562D0E">
        <w:rPr>
          <w:rFonts w:ascii="Arial" w:hAnsi="Arial" w:cs="Arial"/>
          <w:b w:val="0"/>
          <w:color w:val="auto"/>
          <w:sz w:val="22"/>
          <w:szCs w:val="22"/>
        </w:rPr>
        <w:t xml:space="preserve"> with your client/s when you have gained consent. The</w:t>
      </w:r>
      <w:r w:rsidR="0075426E">
        <w:rPr>
          <w:rFonts w:ascii="Arial" w:hAnsi="Arial" w:cs="Arial"/>
          <w:b w:val="0"/>
          <w:color w:val="auto"/>
          <w:sz w:val="22"/>
          <w:szCs w:val="22"/>
        </w:rPr>
        <w:t xml:space="preserve"> </w:t>
      </w:r>
      <w:r w:rsidR="00A70D10">
        <w:rPr>
          <w:rFonts w:ascii="Arial" w:hAnsi="Arial" w:cs="Arial"/>
          <w:b w:val="0"/>
          <w:color w:val="auto"/>
          <w:sz w:val="22"/>
          <w:szCs w:val="22"/>
        </w:rPr>
        <w:t>notice</w:t>
      </w:r>
      <w:r w:rsidRPr="00562D0E">
        <w:rPr>
          <w:rFonts w:ascii="Arial" w:hAnsi="Arial" w:cs="Arial"/>
          <w:b w:val="0"/>
          <w:color w:val="auto"/>
          <w:sz w:val="22"/>
          <w:szCs w:val="22"/>
        </w:rPr>
        <w:t xml:space="preserve"> explains that they have given consent and gives your client contact details should they decide at a later date that they no longer want to share their information with the Hub</w:t>
      </w:r>
      <w:r w:rsidR="00A70D10">
        <w:rPr>
          <w:rFonts w:ascii="Arial" w:hAnsi="Arial" w:cs="Arial"/>
          <w:b w:val="0"/>
          <w:color w:val="auto"/>
          <w:sz w:val="22"/>
          <w:szCs w:val="22"/>
        </w:rPr>
        <w:t xml:space="preserve"> and the national evaluation programme</w:t>
      </w:r>
      <w:r w:rsidRPr="00562D0E">
        <w:rPr>
          <w:rFonts w:ascii="Arial" w:hAnsi="Arial" w:cs="Arial"/>
          <w:b w:val="0"/>
          <w:color w:val="auto"/>
          <w:sz w:val="22"/>
          <w:szCs w:val="22"/>
        </w:rPr>
        <w:t xml:space="preserve">. </w:t>
      </w:r>
    </w:p>
    <w:p w:rsidR="008A649E" w:rsidRPr="00562D0E" w:rsidRDefault="008A649E" w:rsidP="008A649E">
      <w:pPr>
        <w:rPr>
          <w:rFonts w:ascii="Arial" w:hAnsi="Arial" w:cs="Arial"/>
          <w:b w:val="0"/>
          <w:color w:val="auto"/>
          <w:sz w:val="22"/>
          <w:szCs w:val="22"/>
        </w:rPr>
      </w:pPr>
      <w:r w:rsidRPr="00562D0E">
        <w:rPr>
          <w:rFonts w:ascii="Arial" w:hAnsi="Arial" w:cs="Arial"/>
          <w:b w:val="0"/>
          <w:color w:val="auto"/>
          <w:sz w:val="22"/>
          <w:szCs w:val="22"/>
        </w:rPr>
        <w:t>It also explains that their referral will now go to the Hub and that a professional will contact</w:t>
      </w:r>
      <w:r w:rsidR="00C5172A" w:rsidRPr="00562D0E">
        <w:rPr>
          <w:rFonts w:ascii="Arial" w:hAnsi="Arial" w:cs="Arial"/>
          <w:b w:val="0"/>
          <w:color w:val="auto"/>
          <w:sz w:val="22"/>
          <w:szCs w:val="22"/>
        </w:rPr>
        <w:t xml:space="preserve"> them</w:t>
      </w:r>
      <w:r w:rsidRPr="00562D0E">
        <w:rPr>
          <w:rFonts w:ascii="Arial" w:hAnsi="Arial" w:cs="Arial"/>
          <w:b w:val="0"/>
          <w:color w:val="auto"/>
          <w:sz w:val="22"/>
          <w:szCs w:val="22"/>
        </w:rPr>
        <w:t xml:space="preserve"> shortly to let them know the outcome of that referral and explain what additional support can be offered.</w:t>
      </w:r>
    </w:p>
    <w:p w:rsidR="008A649E" w:rsidRPr="00EA7B30" w:rsidRDefault="008A649E" w:rsidP="008A649E">
      <w:pPr>
        <w:rPr>
          <w:rFonts w:ascii="Arial" w:hAnsi="Arial" w:cs="Arial"/>
          <w:b w:val="0"/>
          <w:sz w:val="22"/>
          <w:szCs w:val="22"/>
        </w:rPr>
      </w:pPr>
      <w:r w:rsidRPr="00EA7B30">
        <w:rPr>
          <w:rFonts w:ascii="Arial" w:hAnsi="Arial" w:cs="Arial"/>
          <w:b w:val="0"/>
          <w:sz w:val="22"/>
          <w:szCs w:val="22"/>
        </w:rPr>
        <w:t xml:space="preserve">This </w:t>
      </w:r>
      <w:r w:rsidR="00A70D10">
        <w:rPr>
          <w:rFonts w:ascii="Arial" w:hAnsi="Arial" w:cs="Arial"/>
          <w:b w:val="0"/>
          <w:sz w:val="22"/>
          <w:szCs w:val="22"/>
        </w:rPr>
        <w:t>Privacy Notice</w:t>
      </w:r>
      <w:r w:rsidRPr="00EA7B30">
        <w:rPr>
          <w:rFonts w:ascii="Arial" w:hAnsi="Arial" w:cs="Arial"/>
          <w:b w:val="0"/>
          <w:sz w:val="22"/>
          <w:szCs w:val="22"/>
        </w:rPr>
        <w:t xml:space="preserve"> can be downloaded from the Early Help page of the Council’s website here </w:t>
      </w:r>
      <w:hyperlink r:id="rId10" w:history="1">
        <w:r w:rsidRPr="00EA7B30">
          <w:rPr>
            <w:rStyle w:val="Hyperlink"/>
            <w:rFonts w:ascii="Arial" w:hAnsi="Arial" w:cs="Arial"/>
            <w:b w:val="0"/>
            <w:sz w:val="22"/>
            <w:szCs w:val="22"/>
          </w:rPr>
          <w:t>http://www.brighton-hove.gov.uk/content/children-and-education/childrens-services/early-help</w:t>
        </w:r>
      </w:hyperlink>
    </w:p>
    <w:p w:rsidR="008A649E" w:rsidRPr="00EA7B30" w:rsidRDefault="008A649E">
      <w:pPr>
        <w:rPr>
          <w:b w:val="0"/>
          <w:sz w:val="22"/>
          <w:szCs w:val="22"/>
        </w:rPr>
      </w:pPr>
    </w:p>
    <w:p w:rsidR="007B7AB4" w:rsidRDefault="007B7AB4" w:rsidP="008538CC">
      <w:pPr>
        <w:rPr>
          <w:rFonts w:ascii="Arial" w:hAnsi="Arial" w:cs="Arial"/>
          <w:b w:val="0"/>
          <w:sz w:val="24"/>
        </w:rPr>
      </w:pPr>
    </w:p>
    <w:p w:rsidR="005843E5" w:rsidRDefault="007B7AB4" w:rsidP="008538CC">
      <w:pPr>
        <w:rPr>
          <w:rFonts w:ascii="Arial" w:hAnsi="Arial" w:cs="Arial"/>
          <w:b w:val="0"/>
          <w:color w:val="auto"/>
          <w:sz w:val="22"/>
          <w:szCs w:val="22"/>
        </w:rPr>
      </w:pPr>
      <w:r w:rsidRPr="007B7AB4">
        <w:rPr>
          <w:rFonts w:ascii="Arial" w:hAnsi="Arial" w:cs="Arial"/>
          <w:b w:val="0"/>
          <w:sz w:val="24"/>
        </w:rPr>
        <w:t>Referrals that do not require consent</w:t>
      </w:r>
    </w:p>
    <w:p w:rsidR="008538CC" w:rsidRPr="00EA7B30" w:rsidRDefault="008538CC" w:rsidP="008538CC">
      <w:pPr>
        <w:rPr>
          <w:rFonts w:ascii="Arial" w:hAnsi="Arial" w:cs="Arial"/>
          <w:b w:val="0"/>
          <w:sz w:val="22"/>
          <w:szCs w:val="22"/>
        </w:rPr>
      </w:pPr>
      <w:r w:rsidRPr="00562D0E">
        <w:rPr>
          <w:rFonts w:ascii="Arial" w:hAnsi="Arial" w:cs="Arial"/>
          <w:b w:val="0"/>
          <w:color w:val="auto"/>
          <w:sz w:val="22"/>
          <w:szCs w:val="22"/>
        </w:rPr>
        <w:t xml:space="preserve">The </w:t>
      </w:r>
      <w:r w:rsidR="00C5172A" w:rsidRPr="00562D0E">
        <w:rPr>
          <w:rFonts w:ascii="Arial" w:hAnsi="Arial" w:cs="Arial"/>
          <w:b w:val="0"/>
          <w:color w:val="auto"/>
          <w:sz w:val="22"/>
          <w:szCs w:val="22"/>
        </w:rPr>
        <w:t>E</w:t>
      </w:r>
      <w:r w:rsidRPr="00562D0E">
        <w:rPr>
          <w:rFonts w:ascii="Arial" w:hAnsi="Arial" w:cs="Arial"/>
          <w:b w:val="0"/>
          <w:color w:val="auto"/>
          <w:sz w:val="22"/>
          <w:szCs w:val="22"/>
        </w:rPr>
        <w:t xml:space="preserve">arly Help Hub referral form gives you the option as a referrer to indicate where </w:t>
      </w:r>
      <w:r w:rsidRPr="00EA7B30">
        <w:rPr>
          <w:rFonts w:ascii="Arial" w:hAnsi="Arial" w:cs="Arial"/>
          <w:b w:val="0"/>
          <w:sz w:val="22"/>
          <w:szCs w:val="22"/>
        </w:rPr>
        <w:t>consent is not required because of a safeguarding, ASB or criminal activity context. It states that-</w:t>
      </w:r>
    </w:p>
    <w:p w:rsidR="008538CC" w:rsidRPr="007B7AB4" w:rsidRDefault="008538CC" w:rsidP="008538CC">
      <w:pPr>
        <w:tabs>
          <w:tab w:val="left" w:pos="90"/>
          <w:tab w:val="left" w:pos="180"/>
          <w:tab w:val="left" w:pos="270"/>
          <w:tab w:val="left" w:pos="450"/>
        </w:tabs>
        <w:spacing w:after="60"/>
        <w:rPr>
          <w:rFonts w:ascii="Arial" w:hAnsi="Arial" w:cs="Arial"/>
          <w:b w:val="0"/>
          <w:i/>
          <w:sz w:val="22"/>
          <w:szCs w:val="22"/>
        </w:rPr>
      </w:pPr>
      <w:r w:rsidRPr="007B7AB4">
        <w:rPr>
          <w:rFonts w:ascii="Arial" w:hAnsi="Arial" w:cs="Arial"/>
          <w:b w:val="0"/>
          <w:i/>
          <w:sz w:val="22"/>
          <w:szCs w:val="22"/>
        </w:rPr>
        <w:t>Consent is not required in the following circumstances:</w:t>
      </w:r>
    </w:p>
    <w:p w:rsidR="008538CC" w:rsidRPr="007B7AB4" w:rsidRDefault="008538CC" w:rsidP="008538CC">
      <w:pPr>
        <w:pStyle w:val="ListParagraph"/>
        <w:numPr>
          <w:ilvl w:val="0"/>
          <w:numId w:val="6"/>
        </w:numPr>
        <w:tabs>
          <w:tab w:val="left" w:pos="90"/>
          <w:tab w:val="left" w:pos="180"/>
          <w:tab w:val="left" w:pos="270"/>
          <w:tab w:val="left" w:pos="450"/>
        </w:tabs>
        <w:spacing w:after="60"/>
        <w:contextualSpacing w:val="0"/>
        <w:rPr>
          <w:rFonts w:ascii="Arial" w:hAnsi="Arial" w:cs="Arial"/>
          <w:b w:val="0"/>
          <w:i/>
          <w:sz w:val="22"/>
          <w:szCs w:val="22"/>
        </w:rPr>
      </w:pPr>
      <w:r w:rsidRPr="007B7AB4">
        <w:rPr>
          <w:rFonts w:ascii="Arial" w:hAnsi="Arial" w:cs="Arial"/>
          <w:b w:val="0"/>
          <w:i/>
          <w:sz w:val="22"/>
          <w:szCs w:val="22"/>
        </w:rPr>
        <w:t>Alleged or proven criminal activity</w:t>
      </w:r>
    </w:p>
    <w:p w:rsidR="008538CC" w:rsidRPr="007B7AB4" w:rsidRDefault="008538CC" w:rsidP="008538CC">
      <w:pPr>
        <w:pStyle w:val="ListParagraph"/>
        <w:numPr>
          <w:ilvl w:val="0"/>
          <w:numId w:val="6"/>
        </w:numPr>
        <w:tabs>
          <w:tab w:val="left" w:pos="90"/>
          <w:tab w:val="left" w:pos="180"/>
          <w:tab w:val="left" w:pos="270"/>
          <w:tab w:val="left" w:pos="450"/>
        </w:tabs>
        <w:spacing w:after="60"/>
        <w:contextualSpacing w:val="0"/>
        <w:rPr>
          <w:rFonts w:ascii="Arial" w:hAnsi="Arial" w:cs="Arial"/>
          <w:b w:val="0"/>
          <w:i/>
          <w:sz w:val="22"/>
          <w:szCs w:val="22"/>
        </w:rPr>
      </w:pPr>
      <w:r w:rsidRPr="007B7AB4">
        <w:rPr>
          <w:rFonts w:ascii="Arial" w:hAnsi="Arial" w:cs="Arial"/>
          <w:b w:val="0"/>
          <w:i/>
          <w:sz w:val="22"/>
          <w:szCs w:val="22"/>
        </w:rPr>
        <w:t>Child protection or safeguarding of children and vulnerable adults, in which case this would become an immediate Multi-Agency Safeguarding Hub (MASH) referral</w:t>
      </w:r>
    </w:p>
    <w:p w:rsidR="008538CC" w:rsidRPr="00EA7B30" w:rsidRDefault="007B7AB4" w:rsidP="008538CC">
      <w:pPr>
        <w:tabs>
          <w:tab w:val="left" w:pos="90"/>
          <w:tab w:val="left" w:pos="180"/>
          <w:tab w:val="left" w:pos="270"/>
          <w:tab w:val="left" w:pos="450"/>
        </w:tabs>
        <w:spacing w:after="60"/>
        <w:rPr>
          <w:rFonts w:ascii="Arial" w:hAnsi="Arial" w:cs="Arial"/>
          <w:b w:val="0"/>
          <w:sz w:val="22"/>
          <w:szCs w:val="22"/>
        </w:rPr>
      </w:pPr>
      <w:r>
        <w:rPr>
          <w:rFonts w:ascii="Arial" w:hAnsi="Arial" w:cs="Arial"/>
          <w:b w:val="0"/>
          <w:sz w:val="22"/>
          <w:szCs w:val="22"/>
        </w:rPr>
        <w:t>It then goes on to say,</w:t>
      </w:r>
    </w:p>
    <w:p w:rsidR="008538CC" w:rsidRPr="007B7AB4" w:rsidRDefault="008538CC" w:rsidP="008538CC">
      <w:pPr>
        <w:tabs>
          <w:tab w:val="left" w:pos="90"/>
          <w:tab w:val="left" w:pos="180"/>
          <w:tab w:val="left" w:pos="270"/>
          <w:tab w:val="left" w:pos="450"/>
        </w:tabs>
        <w:spacing w:after="120"/>
        <w:rPr>
          <w:rFonts w:ascii="Arial" w:hAnsi="Arial" w:cs="Arial"/>
          <w:b w:val="0"/>
          <w:i/>
          <w:sz w:val="22"/>
          <w:szCs w:val="22"/>
        </w:rPr>
      </w:pPr>
      <w:r w:rsidRPr="007B7AB4">
        <w:rPr>
          <w:rFonts w:ascii="Arial" w:hAnsi="Arial" w:cs="Arial"/>
          <w:b w:val="0"/>
          <w:i/>
          <w:sz w:val="22"/>
          <w:szCs w:val="22"/>
        </w:rPr>
        <w:t>If you have not gained consent please detail below what of the two circumstances above applies to this referral and tell us why you have not made a referral to the MASH</w:t>
      </w:r>
    </w:p>
    <w:p w:rsidR="008538CC" w:rsidRPr="00EA7B30" w:rsidRDefault="008538CC" w:rsidP="008538CC">
      <w:pPr>
        <w:tabs>
          <w:tab w:val="left" w:pos="90"/>
          <w:tab w:val="left" w:pos="180"/>
          <w:tab w:val="left" w:pos="270"/>
          <w:tab w:val="left" w:pos="450"/>
        </w:tabs>
        <w:spacing w:after="120"/>
        <w:rPr>
          <w:rFonts w:ascii="Arial" w:hAnsi="Arial" w:cs="Arial"/>
          <w:b w:val="0"/>
          <w:sz w:val="22"/>
          <w:szCs w:val="22"/>
        </w:rPr>
      </w:pPr>
    </w:p>
    <w:p w:rsidR="008538CC" w:rsidRPr="00897158" w:rsidRDefault="008538CC" w:rsidP="008538CC">
      <w:pPr>
        <w:tabs>
          <w:tab w:val="left" w:pos="90"/>
          <w:tab w:val="left" w:pos="180"/>
          <w:tab w:val="left" w:pos="270"/>
          <w:tab w:val="left" w:pos="450"/>
        </w:tabs>
        <w:spacing w:after="120"/>
        <w:rPr>
          <w:rFonts w:ascii="Arial" w:hAnsi="Arial" w:cs="Arial"/>
          <w:b w:val="0"/>
          <w:color w:val="auto"/>
          <w:sz w:val="24"/>
        </w:rPr>
      </w:pPr>
      <w:r w:rsidRPr="001C2672">
        <w:rPr>
          <w:rFonts w:ascii="Arial" w:hAnsi="Arial" w:cs="Arial"/>
          <w:b w:val="0"/>
          <w:sz w:val="24"/>
        </w:rPr>
        <w:t>It is important to remember that in most instances where there are clear safeguarding</w:t>
      </w:r>
      <w:r w:rsidRPr="00897158">
        <w:rPr>
          <w:rFonts w:ascii="Arial" w:hAnsi="Arial" w:cs="Arial"/>
          <w:b w:val="0"/>
          <w:color w:val="auto"/>
          <w:sz w:val="24"/>
        </w:rPr>
        <w:t xml:space="preserve">, </w:t>
      </w:r>
      <w:r w:rsidR="00897158">
        <w:rPr>
          <w:rFonts w:ascii="Arial" w:hAnsi="Arial" w:cs="Arial"/>
          <w:b w:val="0"/>
          <w:color w:val="auto"/>
          <w:sz w:val="24"/>
        </w:rPr>
        <w:t>a</w:t>
      </w:r>
      <w:r w:rsidR="00897158" w:rsidRPr="00897158">
        <w:rPr>
          <w:rFonts w:ascii="Arial" w:hAnsi="Arial" w:cs="Arial"/>
          <w:b w:val="0"/>
          <w:color w:val="auto"/>
          <w:sz w:val="24"/>
        </w:rPr>
        <w:t xml:space="preserve">nti-social </w:t>
      </w:r>
      <w:r w:rsidR="00897158">
        <w:rPr>
          <w:rFonts w:ascii="Arial" w:hAnsi="Arial" w:cs="Arial"/>
          <w:b w:val="0"/>
          <w:color w:val="auto"/>
          <w:sz w:val="24"/>
        </w:rPr>
        <w:t>b</w:t>
      </w:r>
      <w:r w:rsidR="00897158" w:rsidRPr="00897158">
        <w:rPr>
          <w:rFonts w:ascii="Arial" w:hAnsi="Arial" w:cs="Arial"/>
          <w:b w:val="0"/>
          <w:color w:val="auto"/>
          <w:sz w:val="24"/>
        </w:rPr>
        <w:t>ehaviour</w:t>
      </w:r>
      <w:r w:rsidRPr="00897158">
        <w:rPr>
          <w:rFonts w:ascii="Arial" w:hAnsi="Arial" w:cs="Arial"/>
          <w:b w:val="0"/>
          <w:color w:val="auto"/>
          <w:sz w:val="24"/>
        </w:rPr>
        <w:t>, criminal activity concerns</w:t>
      </w:r>
      <w:r w:rsidR="00697243" w:rsidRPr="00897158">
        <w:rPr>
          <w:rFonts w:ascii="Arial" w:hAnsi="Arial" w:cs="Arial"/>
          <w:b w:val="0"/>
          <w:color w:val="auto"/>
          <w:sz w:val="24"/>
        </w:rPr>
        <w:t xml:space="preserve"> you should contact the MASH in the first instance.</w:t>
      </w:r>
    </w:p>
    <w:p w:rsidR="008A649E" w:rsidRPr="008A649E" w:rsidRDefault="008A649E" w:rsidP="008A649E">
      <w:pPr>
        <w:spacing w:line="315" w:lineRule="atLeast"/>
        <w:textAlignment w:val="baseline"/>
        <w:rPr>
          <w:rFonts w:ascii="Arial" w:hAnsi="Arial" w:cs="Arial"/>
          <w:b w:val="0"/>
          <w:sz w:val="21"/>
          <w:szCs w:val="21"/>
          <w:bdr w:val="none" w:sz="0" w:space="0" w:color="auto" w:frame="1"/>
          <w:lang w:val="en"/>
        </w:rPr>
      </w:pPr>
      <w:r w:rsidRPr="008A649E">
        <w:rPr>
          <w:rFonts w:ascii="Arial" w:hAnsi="Arial" w:cs="Arial"/>
          <w:b w:val="0"/>
          <w:sz w:val="21"/>
          <w:szCs w:val="21"/>
          <w:bdr w:val="none" w:sz="0" w:space="0" w:color="auto" w:frame="1"/>
          <w:lang w:val="en"/>
        </w:rPr>
        <w:t xml:space="preserve">Multi-Agency Safeguarding Hub (MASH) </w:t>
      </w:r>
    </w:p>
    <w:p w:rsidR="008A649E" w:rsidRPr="008A649E" w:rsidRDefault="008A649E" w:rsidP="008A649E">
      <w:pPr>
        <w:spacing w:line="315" w:lineRule="atLeast"/>
        <w:textAlignment w:val="baseline"/>
        <w:rPr>
          <w:rFonts w:ascii="Arial" w:hAnsi="Arial" w:cs="Arial"/>
          <w:b w:val="0"/>
          <w:sz w:val="21"/>
          <w:szCs w:val="21"/>
          <w:bdr w:val="none" w:sz="0" w:space="0" w:color="auto" w:frame="1"/>
          <w:lang w:val="en"/>
        </w:rPr>
      </w:pPr>
      <w:r w:rsidRPr="008A649E">
        <w:rPr>
          <w:rFonts w:ascii="Arial" w:hAnsi="Arial" w:cs="Arial"/>
          <w:b w:val="0"/>
          <w:sz w:val="21"/>
          <w:szCs w:val="21"/>
          <w:bdr w:val="none" w:sz="0" w:space="0" w:color="auto" w:frame="1"/>
          <w:lang w:val="en"/>
        </w:rPr>
        <w:t xml:space="preserve">Tel: </w:t>
      </w:r>
      <w:r w:rsidR="00C5172A">
        <w:rPr>
          <w:rFonts w:ascii="Arial" w:hAnsi="Arial" w:cs="Arial"/>
          <w:b w:val="0"/>
          <w:sz w:val="21"/>
          <w:szCs w:val="21"/>
          <w:bdr w:val="none" w:sz="0" w:space="0" w:color="auto" w:frame="1"/>
          <w:lang w:val="en"/>
        </w:rPr>
        <w:t xml:space="preserve"> </w:t>
      </w:r>
      <w:r w:rsidRPr="008A649E">
        <w:rPr>
          <w:rFonts w:ascii="Arial" w:hAnsi="Arial" w:cs="Arial"/>
          <w:b w:val="0"/>
          <w:sz w:val="21"/>
          <w:szCs w:val="21"/>
          <w:bdr w:val="none" w:sz="0" w:space="0" w:color="auto" w:frame="1"/>
          <w:lang w:val="en"/>
        </w:rPr>
        <w:t xml:space="preserve">01273 290400 </w:t>
      </w:r>
    </w:p>
    <w:p w:rsidR="008A649E" w:rsidRPr="008A649E" w:rsidRDefault="008A649E" w:rsidP="008A649E">
      <w:pPr>
        <w:spacing w:line="315" w:lineRule="atLeast"/>
        <w:textAlignment w:val="baseline"/>
        <w:rPr>
          <w:rFonts w:ascii="Arial" w:hAnsi="Arial" w:cs="Arial"/>
          <w:b w:val="0"/>
          <w:sz w:val="21"/>
          <w:szCs w:val="21"/>
          <w:lang w:val="en"/>
        </w:rPr>
      </w:pPr>
      <w:r w:rsidRPr="008A649E">
        <w:rPr>
          <w:rFonts w:ascii="Arial" w:hAnsi="Arial" w:cs="Arial"/>
          <w:b w:val="0"/>
          <w:sz w:val="21"/>
          <w:szCs w:val="21"/>
          <w:bdr w:val="none" w:sz="0" w:space="0" w:color="auto" w:frame="1"/>
          <w:lang w:val="en"/>
        </w:rPr>
        <w:t xml:space="preserve">Email: </w:t>
      </w:r>
      <w:hyperlink r:id="rId11" w:history="1">
        <w:r w:rsidRPr="008A649E">
          <w:rPr>
            <w:rStyle w:val="Hyperlink"/>
            <w:rFonts w:ascii="Arial" w:hAnsi="Arial" w:cs="Arial"/>
            <w:b w:val="0"/>
            <w:sz w:val="21"/>
            <w:szCs w:val="21"/>
            <w:lang w:val="en"/>
          </w:rPr>
          <w:t>MASH@brighton-hove.gcsx.gov.uk</w:t>
        </w:r>
      </w:hyperlink>
      <w:r w:rsidRPr="008A649E">
        <w:rPr>
          <w:rFonts w:ascii="Arial" w:hAnsi="Arial" w:cs="Arial"/>
          <w:b w:val="0"/>
          <w:sz w:val="21"/>
          <w:szCs w:val="21"/>
          <w:lang w:val="en"/>
        </w:rPr>
        <w:t>.</w:t>
      </w:r>
    </w:p>
    <w:p w:rsidR="00697243" w:rsidRPr="008A649E" w:rsidRDefault="008A649E" w:rsidP="005843E5">
      <w:pPr>
        <w:spacing w:before="180" w:after="180" w:line="315" w:lineRule="atLeast"/>
        <w:textAlignment w:val="baseline"/>
        <w:rPr>
          <w:rFonts w:ascii="Arial" w:hAnsi="Arial" w:cs="Arial"/>
          <w:b w:val="0"/>
          <w:sz w:val="22"/>
          <w:szCs w:val="22"/>
        </w:rPr>
      </w:pPr>
      <w:r w:rsidRPr="008A649E">
        <w:rPr>
          <w:rFonts w:ascii="Arial" w:hAnsi="Arial" w:cs="Arial"/>
          <w:b w:val="0"/>
          <w:sz w:val="21"/>
          <w:szCs w:val="21"/>
          <w:lang w:val="en"/>
        </w:rPr>
        <w:t>Outside of normal office hours call the number above to receive a message giving emergency contact details.</w:t>
      </w:r>
      <w:r w:rsidRPr="008A649E">
        <w:rPr>
          <w:rFonts w:ascii="Arial" w:hAnsi="Arial" w:cs="Arial"/>
          <w:b w:val="0"/>
          <w:sz w:val="22"/>
          <w:szCs w:val="22"/>
        </w:rPr>
        <w:t>For more information about the MASH go to:</w:t>
      </w:r>
    </w:p>
    <w:p w:rsidR="00227059" w:rsidRDefault="00EA0F04" w:rsidP="00227059">
      <w:pPr>
        <w:rPr>
          <w:rFonts w:ascii="Calibri" w:hAnsi="Calibri" w:cs="Calibri"/>
          <w:color w:val="1F497D"/>
        </w:rPr>
      </w:pPr>
      <w:hyperlink r:id="rId12" w:history="1">
        <w:r w:rsidR="008A649E" w:rsidRPr="007B7AB4">
          <w:rPr>
            <w:rStyle w:val="Hyperlink"/>
            <w:rFonts w:ascii="Arial" w:hAnsi="Arial" w:cs="Arial"/>
            <w:b w:val="0"/>
            <w:sz w:val="20"/>
            <w:szCs w:val="20"/>
          </w:rPr>
          <w:t>http://www.brighton-hove.gov.uk/content/children-and-education/childrens-services/accessing-childrens-services</w:t>
        </w:r>
      </w:hyperlink>
    </w:p>
    <w:p w:rsidR="00227059" w:rsidRDefault="00227059" w:rsidP="00227059">
      <w:pPr>
        <w:rPr>
          <w:rFonts w:ascii="Arial" w:hAnsi="Arial" w:cs="Arial"/>
          <w:b w:val="0"/>
          <w:color w:val="auto"/>
        </w:rPr>
      </w:pPr>
    </w:p>
    <w:p w:rsidR="00227059" w:rsidRDefault="00227059" w:rsidP="00227059">
      <w:pPr>
        <w:rPr>
          <w:rFonts w:ascii="Arial" w:hAnsi="Arial" w:cs="Arial"/>
        </w:rPr>
      </w:pPr>
    </w:p>
    <w:p w:rsidR="008538CC" w:rsidRPr="00EA7B30" w:rsidRDefault="008538CC">
      <w:pPr>
        <w:rPr>
          <w:b w:val="0"/>
          <w:sz w:val="22"/>
          <w:szCs w:val="22"/>
        </w:rPr>
      </w:pPr>
    </w:p>
    <w:sectPr w:rsidR="008538CC" w:rsidRPr="00EA7B30">
      <w:footerReference w:type="default" r:id="rId1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6E" w:rsidRDefault="0075426E" w:rsidP="0075426E">
      <w:r>
        <w:separator/>
      </w:r>
    </w:p>
  </w:endnote>
  <w:endnote w:type="continuationSeparator" w:id="0">
    <w:p w:rsidR="0075426E" w:rsidRDefault="0075426E" w:rsidP="0075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4D"/>
    <w:family w:val="swiss"/>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01985"/>
      <w:docPartObj>
        <w:docPartGallery w:val="Page Numbers (Bottom of Page)"/>
        <w:docPartUnique/>
      </w:docPartObj>
    </w:sdtPr>
    <w:sdtEndPr>
      <w:rPr>
        <w:noProof/>
      </w:rPr>
    </w:sdtEndPr>
    <w:sdtContent>
      <w:p w:rsidR="0075426E" w:rsidRDefault="0075426E">
        <w:pPr>
          <w:pStyle w:val="Footer"/>
          <w:jc w:val="center"/>
        </w:pPr>
        <w:r>
          <w:fldChar w:fldCharType="begin"/>
        </w:r>
        <w:r>
          <w:instrText xml:space="preserve"> PAGE   \* MERGEFORMAT </w:instrText>
        </w:r>
        <w:r>
          <w:fldChar w:fldCharType="separate"/>
        </w:r>
        <w:r w:rsidR="00EA0F04">
          <w:rPr>
            <w:noProof/>
          </w:rPr>
          <w:t>2</w:t>
        </w:r>
        <w:r>
          <w:rPr>
            <w:noProof/>
          </w:rPr>
          <w:fldChar w:fldCharType="end"/>
        </w:r>
      </w:p>
    </w:sdtContent>
  </w:sdt>
  <w:p w:rsidR="0075426E" w:rsidRDefault="00754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6E" w:rsidRDefault="0075426E" w:rsidP="0075426E">
      <w:r>
        <w:separator/>
      </w:r>
    </w:p>
  </w:footnote>
  <w:footnote w:type="continuationSeparator" w:id="0">
    <w:p w:rsidR="0075426E" w:rsidRDefault="0075426E" w:rsidP="00754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98B"/>
    <w:multiLevelType w:val="hybridMultilevel"/>
    <w:tmpl w:val="5D5CF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4FB0372"/>
    <w:multiLevelType w:val="hybridMultilevel"/>
    <w:tmpl w:val="CDD4F1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5664D0"/>
    <w:multiLevelType w:val="hybridMultilevel"/>
    <w:tmpl w:val="B7A4B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3F9079E"/>
    <w:multiLevelType w:val="hybridMultilevel"/>
    <w:tmpl w:val="D0889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83A3F30"/>
    <w:multiLevelType w:val="hybridMultilevel"/>
    <w:tmpl w:val="C2BE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2530DF"/>
    <w:multiLevelType w:val="hybridMultilevel"/>
    <w:tmpl w:val="D69CC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C037D5"/>
    <w:multiLevelType w:val="hybridMultilevel"/>
    <w:tmpl w:val="81CE4F5E"/>
    <w:lvl w:ilvl="0" w:tplc="08090001">
      <w:start w:val="1"/>
      <w:numFmt w:val="bullet"/>
      <w:lvlText w:val=""/>
      <w:lvlJc w:val="left"/>
      <w:pPr>
        <w:tabs>
          <w:tab w:val="num" w:pos="-633"/>
        </w:tabs>
        <w:ind w:left="-633" w:hanging="360"/>
      </w:pPr>
      <w:rPr>
        <w:rFonts w:ascii="Symbol" w:hAnsi="Symbol" w:hint="default"/>
      </w:rPr>
    </w:lvl>
    <w:lvl w:ilvl="1" w:tplc="08090003" w:tentative="1">
      <w:start w:val="1"/>
      <w:numFmt w:val="bullet"/>
      <w:lvlText w:val="o"/>
      <w:lvlJc w:val="left"/>
      <w:pPr>
        <w:tabs>
          <w:tab w:val="num" w:pos="87"/>
        </w:tabs>
        <w:ind w:left="87" w:hanging="360"/>
      </w:pPr>
      <w:rPr>
        <w:rFonts w:ascii="Courier New" w:hAnsi="Courier New" w:cs="Courier New" w:hint="default"/>
      </w:rPr>
    </w:lvl>
    <w:lvl w:ilvl="2" w:tplc="08090005" w:tentative="1">
      <w:start w:val="1"/>
      <w:numFmt w:val="bullet"/>
      <w:lvlText w:val=""/>
      <w:lvlJc w:val="left"/>
      <w:pPr>
        <w:tabs>
          <w:tab w:val="num" w:pos="807"/>
        </w:tabs>
        <w:ind w:left="807" w:hanging="360"/>
      </w:pPr>
      <w:rPr>
        <w:rFonts w:ascii="Wingdings" w:hAnsi="Wingdings" w:hint="default"/>
      </w:rPr>
    </w:lvl>
    <w:lvl w:ilvl="3" w:tplc="08090001" w:tentative="1">
      <w:start w:val="1"/>
      <w:numFmt w:val="bullet"/>
      <w:lvlText w:val=""/>
      <w:lvlJc w:val="left"/>
      <w:pPr>
        <w:tabs>
          <w:tab w:val="num" w:pos="1527"/>
        </w:tabs>
        <w:ind w:left="1527" w:hanging="360"/>
      </w:pPr>
      <w:rPr>
        <w:rFonts w:ascii="Symbol" w:hAnsi="Symbol" w:hint="default"/>
      </w:rPr>
    </w:lvl>
    <w:lvl w:ilvl="4" w:tplc="08090003" w:tentative="1">
      <w:start w:val="1"/>
      <w:numFmt w:val="bullet"/>
      <w:lvlText w:val="o"/>
      <w:lvlJc w:val="left"/>
      <w:pPr>
        <w:tabs>
          <w:tab w:val="num" w:pos="2247"/>
        </w:tabs>
        <w:ind w:left="2247" w:hanging="360"/>
      </w:pPr>
      <w:rPr>
        <w:rFonts w:ascii="Courier New" w:hAnsi="Courier New" w:cs="Courier New" w:hint="default"/>
      </w:rPr>
    </w:lvl>
    <w:lvl w:ilvl="5" w:tplc="08090005" w:tentative="1">
      <w:start w:val="1"/>
      <w:numFmt w:val="bullet"/>
      <w:lvlText w:val=""/>
      <w:lvlJc w:val="left"/>
      <w:pPr>
        <w:tabs>
          <w:tab w:val="num" w:pos="2967"/>
        </w:tabs>
        <w:ind w:left="2967" w:hanging="360"/>
      </w:pPr>
      <w:rPr>
        <w:rFonts w:ascii="Wingdings" w:hAnsi="Wingdings" w:hint="default"/>
      </w:rPr>
    </w:lvl>
    <w:lvl w:ilvl="6" w:tplc="08090001" w:tentative="1">
      <w:start w:val="1"/>
      <w:numFmt w:val="bullet"/>
      <w:lvlText w:val=""/>
      <w:lvlJc w:val="left"/>
      <w:pPr>
        <w:tabs>
          <w:tab w:val="num" w:pos="3687"/>
        </w:tabs>
        <w:ind w:left="3687" w:hanging="360"/>
      </w:pPr>
      <w:rPr>
        <w:rFonts w:ascii="Symbol" w:hAnsi="Symbol" w:hint="default"/>
      </w:rPr>
    </w:lvl>
    <w:lvl w:ilvl="7" w:tplc="08090003" w:tentative="1">
      <w:start w:val="1"/>
      <w:numFmt w:val="bullet"/>
      <w:lvlText w:val="o"/>
      <w:lvlJc w:val="left"/>
      <w:pPr>
        <w:tabs>
          <w:tab w:val="num" w:pos="4407"/>
        </w:tabs>
        <w:ind w:left="4407" w:hanging="360"/>
      </w:pPr>
      <w:rPr>
        <w:rFonts w:ascii="Courier New" w:hAnsi="Courier New" w:cs="Courier New" w:hint="default"/>
      </w:rPr>
    </w:lvl>
    <w:lvl w:ilvl="8" w:tplc="08090005" w:tentative="1">
      <w:start w:val="1"/>
      <w:numFmt w:val="bullet"/>
      <w:lvlText w:val=""/>
      <w:lvlJc w:val="left"/>
      <w:pPr>
        <w:tabs>
          <w:tab w:val="num" w:pos="5127"/>
        </w:tabs>
        <w:ind w:left="5127" w:hanging="360"/>
      </w:pPr>
      <w:rPr>
        <w:rFonts w:ascii="Wingdings" w:hAnsi="Wingdings" w:hint="default"/>
      </w:rPr>
    </w:lvl>
  </w:abstractNum>
  <w:abstractNum w:abstractNumId="7">
    <w:nsid w:val="6F0B410B"/>
    <w:multiLevelType w:val="hybridMultilevel"/>
    <w:tmpl w:val="11CAE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A32BAA"/>
    <w:multiLevelType w:val="hybridMultilevel"/>
    <w:tmpl w:val="89AE6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42"/>
    <w:rsid w:val="00063302"/>
    <w:rsid w:val="000E22DF"/>
    <w:rsid w:val="00157233"/>
    <w:rsid w:val="00195641"/>
    <w:rsid w:val="001C2672"/>
    <w:rsid w:val="00227059"/>
    <w:rsid w:val="00336C0F"/>
    <w:rsid w:val="00562D0E"/>
    <w:rsid w:val="0056466F"/>
    <w:rsid w:val="005843E5"/>
    <w:rsid w:val="00637CCD"/>
    <w:rsid w:val="00697243"/>
    <w:rsid w:val="007225DD"/>
    <w:rsid w:val="00740059"/>
    <w:rsid w:val="0075426E"/>
    <w:rsid w:val="007B7AB4"/>
    <w:rsid w:val="008538CC"/>
    <w:rsid w:val="00897158"/>
    <w:rsid w:val="008A649E"/>
    <w:rsid w:val="008B56FC"/>
    <w:rsid w:val="00945BB3"/>
    <w:rsid w:val="00992C05"/>
    <w:rsid w:val="009C4B71"/>
    <w:rsid w:val="00A70D10"/>
    <w:rsid w:val="00B74332"/>
    <w:rsid w:val="00C5172A"/>
    <w:rsid w:val="00D56958"/>
    <w:rsid w:val="00DD3039"/>
    <w:rsid w:val="00DE4242"/>
    <w:rsid w:val="00EA0F04"/>
    <w:rsid w:val="00EA7B30"/>
    <w:rsid w:val="00F27A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242"/>
    <w:rPr>
      <w:rFonts w:ascii="Arial-BoldMT" w:hAnsi="Arial-BoldMT"/>
      <w:b/>
      <w:color w:val="000000"/>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42"/>
    <w:pPr>
      <w:ind w:left="720"/>
      <w:contextualSpacing/>
    </w:pPr>
  </w:style>
  <w:style w:type="character" w:styleId="Hyperlink">
    <w:name w:val="Hyperlink"/>
    <w:basedOn w:val="DefaultParagraphFont"/>
    <w:rsid w:val="00F27A82"/>
    <w:rPr>
      <w:color w:val="0000FF" w:themeColor="hyperlink"/>
      <w:u w:val="single"/>
    </w:rPr>
  </w:style>
  <w:style w:type="paragraph" w:styleId="Revision">
    <w:name w:val="Revision"/>
    <w:hidden/>
    <w:uiPriority w:val="99"/>
    <w:semiHidden/>
    <w:rsid w:val="00B74332"/>
    <w:rPr>
      <w:rFonts w:ascii="Arial-BoldMT" w:hAnsi="Arial-BoldMT"/>
      <w:b/>
      <w:color w:val="000000"/>
      <w:sz w:val="32"/>
      <w:szCs w:val="24"/>
      <w:lang w:eastAsia="en-US"/>
    </w:rPr>
  </w:style>
  <w:style w:type="paragraph" w:styleId="BalloonText">
    <w:name w:val="Balloon Text"/>
    <w:basedOn w:val="Normal"/>
    <w:link w:val="BalloonTextChar"/>
    <w:rsid w:val="00B74332"/>
    <w:rPr>
      <w:rFonts w:ascii="Tahoma" w:hAnsi="Tahoma" w:cs="Tahoma"/>
      <w:sz w:val="16"/>
      <w:szCs w:val="16"/>
    </w:rPr>
  </w:style>
  <w:style w:type="character" w:customStyle="1" w:styleId="BalloonTextChar">
    <w:name w:val="Balloon Text Char"/>
    <w:basedOn w:val="DefaultParagraphFont"/>
    <w:link w:val="BalloonText"/>
    <w:rsid w:val="00B74332"/>
    <w:rPr>
      <w:rFonts w:ascii="Tahoma" w:hAnsi="Tahoma" w:cs="Tahoma"/>
      <w:b/>
      <w:color w:val="000000"/>
      <w:sz w:val="16"/>
      <w:szCs w:val="16"/>
      <w:lang w:eastAsia="en-US"/>
    </w:rPr>
  </w:style>
  <w:style w:type="paragraph" w:styleId="Header">
    <w:name w:val="header"/>
    <w:basedOn w:val="Normal"/>
    <w:link w:val="HeaderChar"/>
    <w:rsid w:val="0075426E"/>
    <w:pPr>
      <w:tabs>
        <w:tab w:val="center" w:pos="4513"/>
        <w:tab w:val="right" w:pos="9026"/>
      </w:tabs>
    </w:pPr>
  </w:style>
  <w:style w:type="character" w:customStyle="1" w:styleId="HeaderChar">
    <w:name w:val="Header Char"/>
    <w:basedOn w:val="DefaultParagraphFont"/>
    <w:link w:val="Header"/>
    <w:rsid w:val="0075426E"/>
    <w:rPr>
      <w:rFonts w:ascii="Arial-BoldMT" w:hAnsi="Arial-BoldMT"/>
      <w:b/>
      <w:color w:val="000000"/>
      <w:sz w:val="32"/>
      <w:szCs w:val="24"/>
      <w:lang w:eastAsia="en-US"/>
    </w:rPr>
  </w:style>
  <w:style w:type="paragraph" w:styleId="Footer">
    <w:name w:val="footer"/>
    <w:basedOn w:val="Normal"/>
    <w:link w:val="FooterChar"/>
    <w:uiPriority w:val="99"/>
    <w:rsid w:val="0075426E"/>
    <w:pPr>
      <w:tabs>
        <w:tab w:val="center" w:pos="4513"/>
        <w:tab w:val="right" w:pos="9026"/>
      </w:tabs>
    </w:pPr>
  </w:style>
  <w:style w:type="character" w:customStyle="1" w:styleId="FooterChar">
    <w:name w:val="Footer Char"/>
    <w:basedOn w:val="DefaultParagraphFont"/>
    <w:link w:val="Footer"/>
    <w:uiPriority w:val="99"/>
    <w:rsid w:val="0075426E"/>
    <w:rPr>
      <w:rFonts w:ascii="Arial-BoldMT" w:hAnsi="Arial-BoldMT"/>
      <w:b/>
      <w:color w:val="000000"/>
      <w:sz w:val="3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242"/>
    <w:rPr>
      <w:rFonts w:ascii="Arial-BoldMT" w:hAnsi="Arial-BoldMT"/>
      <w:b/>
      <w:color w:val="000000"/>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242"/>
    <w:pPr>
      <w:ind w:left="720"/>
      <w:contextualSpacing/>
    </w:pPr>
  </w:style>
  <w:style w:type="character" w:styleId="Hyperlink">
    <w:name w:val="Hyperlink"/>
    <w:basedOn w:val="DefaultParagraphFont"/>
    <w:rsid w:val="00F27A82"/>
    <w:rPr>
      <w:color w:val="0000FF" w:themeColor="hyperlink"/>
      <w:u w:val="single"/>
    </w:rPr>
  </w:style>
  <w:style w:type="paragraph" w:styleId="Revision">
    <w:name w:val="Revision"/>
    <w:hidden/>
    <w:uiPriority w:val="99"/>
    <w:semiHidden/>
    <w:rsid w:val="00B74332"/>
    <w:rPr>
      <w:rFonts w:ascii="Arial-BoldMT" w:hAnsi="Arial-BoldMT"/>
      <w:b/>
      <w:color w:val="000000"/>
      <w:sz w:val="32"/>
      <w:szCs w:val="24"/>
      <w:lang w:eastAsia="en-US"/>
    </w:rPr>
  </w:style>
  <w:style w:type="paragraph" w:styleId="BalloonText">
    <w:name w:val="Balloon Text"/>
    <w:basedOn w:val="Normal"/>
    <w:link w:val="BalloonTextChar"/>
    <w:rsid w:val="00B74332"/>
    <w:rPr>
      <w:rFonts w:ascii="Tahoma" w:hAnsi="Tahoma" w:cs="Tahoma"/>
      <w:sz w:val="16"/>
      <w:szCs w:val="16"/>
    </w:rPr>
  </w:style>
  <w:style w:type="character" w:customStyle="1" w:styleId="BalloonTextChar">
    <w:name w:val="Balloon Text Char"/>
    <w:basedOn w:val="DefaultParagraphFont"/>
    <w:link w:val="BalloonText"/>
    <w:rsid w:val="00B74332"/>
    <w:rPr>
      <w:rFonts w:ascii="Tahoma" w:hAnsi="Tahoma" w:cs="Tahoma"/>
      <w:b/>
      <w:color w:val="000000"/>
      <w:sz w:val="16"/>
      <w:szCs w:val="16"/>
      <w:lang w:eastAsia="en-US"/>
    </w:rPr>
  </w:style>
  <w:style w:type="paragraph" w:styleId="Header">
    <w:name w:val="header"/>
    <w:basedOn w:val="Normal"/>
    <w:link w:val="HeaderChar"/>
    <w:rsid w:val="0075426E"/>
    <w:pPr>
      <w:tabs>
        <w:tab w:val="center" w:pos="4513"/>
        <w:tab w:val="right" w:pos="9026"/>
      </w:tabs>
    </w:pPr>
  </w:style>
  <w:style w:type="character" w:customStyle="1" w:styleId="HeaderChar">
    <w:name w:val="Header Char"/>
    <w:basedOn w:val="DefaultParagraphFont"/>
    <w:link w:val="Header"/>
    <w:rsid w:val="0075426E"/>
    <w:rPr>
      <w:rFonts w:ascii="Arial-BoldMT" w:hAnsi="Arial-BoldMT"/>
      <w:b/>
      <w:color w:val="000000"/>
      <w:sz w:val="32"/>
      <w:szCs w:val="24"/>
      <w:lang w:eastAsia="en-US"/>
    </w:rPr>
  </w:style>
  <w:style w:type="paragraph" w:styleId="Footer">
    <w:name w:val="footer"/>
    <w:basedOn w:val="Normal"/>
    <w:link w:val="FooterChar"/>
    <w:uiPriority w:val="99"/>
    <w:rsid w:val="0075426E"/>
    <w:pPr>
      <w:tabs>
        <w:tab w:val="center" w:pos="4513"/>
        <w:tab w:val="right" w:pos="9026"/>
      </w:tabs>
    </w:pPr>
  </w:style>
  <w:style w:type="character" w:customStyle="1" w:styleId="FooterChar">
    <w:name w:val="Footer Char"/>
    <w:basedOn w:val="DefaultParagraphFont"/>
    <w:link w:val="Footer"/>
    <w:uiPriority w:val="99"/>
    <w:rsid w:val="0075426E"/>
    <w:rPr>
      <w:rFonts w:ascii="Arial-BoldMT" w:hAnsi="Arial-BoldMT"/>
      <w:b/>
      <w:color w:val="000000"/>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69799">
      <w:bodyDiv w:val="1"/>
      <w:marLeft w:val="0"/>
      <w:marRight w:val="0"/>
      <w:marTop w:val="0"/>
      <w:marBottom w:val="0"/>
      <w:divBdr>
        <w:top w:val="none" w:sz="0" w:space="0" w:color="auto"/>
        <w:left w:val="none" w:sz="0" w:space="0" w:color="auto"/>
        <w:bottom w:val="none" w:sz="0" w:space="0" w:color="auto"/>
        <w:right w:val="none" w:sz="0" w:space="0" w:color="auto"/>
      </w:divBdr>
      <w:divsChild>
        <w:div w:id="1181043203">
          <w:marLeft w:val="0"/>
          <w:marRight w:val="0"/>
          <w:marTop w:val="0"/>
          <w:marBottom w:val="0"/>
          <w:divBdr>
            <w:top w:val="none" w:sz="0" w:space="0" w:color="auto"/>
            <w:left w:val="none" w:sz="0" w:space="0" w:color="auto"/>
            <w:bottom w:val="none" w:sz="0" w:space="0" w:color="auto"/>
            <w:right w:val="none" w:sz="0" w:space="0" w:color="auto"/>
          </w:divBdr>
          <w:divsChild>
            <w:div w:id="1356883924">
              <w:marLeft w:val="0"/>
              <w:marRight w:val="0"/>
              <w:marTop w:val="0"/>
              <w:marBottom w:val="0"/>
              <w:divBdr>
                <w:top w:val="none" w:sz="0" w:space="0" w:color="auto"/>
                <w:left w:val="none" w:sz="0" w:space="0" w:color="auto"/>
                <w:bottom w:val="none" w:sz="0" w:space="0" w:color="auto"/>
                <w:right w:val="none" w:sz="0" w:space="0" w:color="auto"/>
              </w:divBdr>
              <w:divsChild>
                <w:div w:id="2078702903">
                  <w:marLeft w:val="0"/>
                  <w:marRight w:val="0"/>
                  <w:marTop w:val="0"/>
                  <w:marBottom w:val="0"/>
                  <w:divBdr>
                    <w:top w:val="none" w:sz="0" w:space="0" w:color="auto"/>
                    <w:left w:val="none" w:sz="0" w:space="0" w:color="auto"/>
                    <w:bottom w:val="none" w:sz="0" w:space="0" w:color="auto"/>
                    <w:right w:val="none" w:sz="0" w:space="0" w:color="auto"/>
                  </w:divBdr>
                  <w:divsChild>
                    <w:div w:id="1930843095">
                      <w:marLeft w:val="0"/>
                      <w:marRight w:val="0"/>
                      <w:marTop w:val="0"/>
                      <w:marBottom w:val="0"/>
                      <w:divBdr>
                        <w:top w:val="none" w:sz="0" w:space="0" w:color="auto"/>
                        <w:left w:val="none" w:sz="0" w:space="0" w:color="auto"/>
                        <w:bottom w:val="none" w:sz="0" w:space="0" w:color="auto"/>
                        <w:right w:val="none" w:sz="0" w:space="0" w:color="auto"/>
                      </w:divBdr>
                      <w:divsChild>
                        <w:div w:id="1377972654">
                          <w:marLeft w:val="1"/>
                          <w:marRight w:val="1"/>
                          <w:marTop w:val="0"/>
                          <w:marBottom w:val="0"/>
                          <w:divBdr>
                            <w:top w:val="none" w:sz="0" w:space="0" w:color="auto"/>
                            <w:left w:val="none" w:sz="0" w:space="0" w:color="auto"/>
                            <w:bottom w:val="none" w:sz="0" w:space="0" w:color="auto"/>
                            <w:right w:val="none" w:sz="0" w:space="0" w:color="auto"/>
                          </w:divBdr>
                          <w:divsChild>
                            <w:div w:id="613053006">
                              <w:marLeft w:val="0"/>
                              <w:marRight w:val="0"/>
                              <w:marTop w:val="0"/>
                              <w:marBottom w:val="0"/>
                              <w:divBdr>
                                <w:top w:val="none" w:sz="0" w:space="0" w:color="auto"/>
                                <w:left w:val="none" w:sz="0" w:space="0" w:color="auto"/>
                                <w:bottom w:val="none" w:sz="0" w:space="0" w:color="auto"/>
                                <w:right w:val="none" w:sz="0" w:space="0" w:color="auto"/>
                              </w:divBdr>
                              <w:divsChild>
                                <w:div w:id="610429613">
                                  <w:marLeft w:val="0"/>
                                  <w:marRight w:val="0"/>
                                  <w:marTop w:val="0"/>
                                  <w:marBottom w:val="0"/>
                                  <w:divBdr>
                                    <w:top w:val="none" w:sz="0" w:space="0" w:color="auto"/>
                                    <w:left w:val="none" w:sz="0" w:space="0" w:color="auto"/>
                                    <w:bottom w:val="none" w:sz="0" w:space="0" w:color="auto"/>
                                    <w:right w:val="none" w:sz="0" w:space="0" w:color="auto"/>
                                  </w:divBdr>
                                  <w:divsChild>
                                    <w:div w:id="1636135291">
                                      <w:marLeft w:val="0"/>
                                      <w:marRight w:val="0"/>
                                      <w:marTop w:val="0"/>
                                      <w:marBottom w:val="0"/>
                                      <w:divBdr>
                                        <w:top w:val="none" w:sz="0" w:space="0" w:color="auto"/>
                                        <w:left w:val="none" w:sz="0" w:space="0" w:color="auto"/>
                                        <w:bottom w:val="none" w:sz="0" w:space="0" w:color="auto"/>
                                        <w:right w:val="none" w:sz="0" w:space="0" w:color="auto"/>
                                      </w:divBdr>
                                      <w:divsChild>
                                        <w:div w:id="2065982984">
                                          <w:marLeft w:val="0"/>
                                          <w:marRight w:val="0"/>
                                          <w:marTop w:val="0"/>
                                          <w:marBottom w:val="0"/>
                                          <w:divBdr>
                                            <w:top w:val="none" w:sz="0" w:space="0" w:color="auto"/>
                                            <w:left w:val="none" w:sz="0" w:space="0" w:color="auto"/>
                                            <w:bottom w:val="none" w:sz="0" w:space="0" w:color="auto"/>
                                            <w:right w:val="none" w:sz="0" w:space="0" w:color="auto"/>
                                          </w:divBdr>
                                          <w:divsChild>
                                            <w:div w:id="2094351198">
                                              <w:marLeft w:val="0"/>
                                              <w:marRight w:val="0"/>
                                              <w:marTop w:val="0"/>
                                              <w:marBottom w:val="0"/>
                                              <w:divBdr>
                                                <w:top w:val="none" w:sz="0" w:space="0" w:color="auto"/>
                                                <w:left w:val="none" w:sz="0" w:space="0" w:color="auto"/>
                                                <w:bottom w:val="none" w:sz="0" w:space="0" w:color="auto"/>
                                                <w:right w:val="none" w:sz="0" w:space="0" w:color="auto"/>
                                              </w:divBdr>
                                              <w:divsChild>
                                                <w:div w:id="1294403334">
                                                  <w:marLeft w:val="0"/>
                                                  <w:marRight w:val="0"/>
                                                  <w:marTop w:val="0"/>
                                                  <w:marBottom w:val="0"/>
                                                  <w:divBdr>
                                                    <w:top w:val="none" w:sz="0" w:space="0" w:color="auto"/>
                                                    <w:left w:val="none" w:sz="0" w:space="0" w:color="auto"/>
                                                    <w:bottom w:val="none" w:sz="0" w:space="0" w:color="auto"/>
                                                    <w:right w:val="none" w:sz="0" w:space="0" w:color="auto"/>
                                                  </w:divBdr>
                                                  <w:divsChild>
                                                    <w:div w:id="442963161">
                                                      <w:marLeft w:val="0"/>
                                                      <w:marRight w:val="0"/>
                                                      <w:marTop w:val="0"/>
                                                      <w:marBottom w:val="0"/>
                                                      <w:divBdr>
                                                        <w:top w:val="none" w:sz="0" w:space="0" w:color="auto"/>
                                                        <w:left w:val="none" w:sz="0" w:space="0" w:color="auto"/>
                                                        <w:bottom w:val="none" w:sz="0" w:space="0" w:color="auto"/>
                                                        <w:right w:val="none" w:sz="0" w:space="0" w:color="auto"/>
                                                      </w:divBdr>
                                                      <w:divsChild>
                                                        <w:div w:id="8602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458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ghton-hove.gov.uk/content/children-and-education/childrens-services/accessing-childrens-serv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SH@brighton-hove.gcsx.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ighton-hove.gov.uk/content/children-and-education/childrens-services/early-help" TargetMode="External"/><Relationship Id="rId4" Type="http://schemas.microsoft.com/office/2007/relationships/stylesWithEffects" Target="stylesWithEffects.xml"/><Relationship Id="rId9" Type="http://schemas.openxmlformats.org/officeDocument/2006/relationships/hyperlink" Target="http://www.brighton-hove.gov.uk/content/children-and-education/childrens-services/early-hel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B223-8FE7-4F2F-90F6-5E2BCB40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7061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Tyrrell</dc:creator>
  <cp:lastModifiedBy>Laura Tyrrell</cp:lastModifiedBy>
  <cp:revision>2</cp:revision>
  <dcterms:created xsi:type="dcterms:W3CDTF">2016-07-12T13:37:00Z</dcterms:created>
  <dcterms:modified xsi:type="dcterms:W3CDTF">2016-07-12T13:37:00Z</dcterms:modified>
</cp:coreProperties>
</file>