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1547" w:rsidRPr="00A41F5D" w:rsidRDefault="00EE1547" w:rsidP="00CA65DC">
      <w:pPr>
        <w:autoSpaceDE w:val="0"/>
        <w:autoSpaceDN w:val="0"/>
        <w:adjustRightInd w:val="0"/>
        <w:rPr>
          <w:rFonts w:asciiTheme="minorHAnsi" w:hAnsiTheme="minorHAnsi" w:cstheme="minorHAnsi"/>
          <w:b/>
          <w:bCs/>
          <w:sz w:val="28"/>
          <w:szCs w:val="28"/>
        </w:rPr>
      </w:pPr>
      <w:bookmarkStart w:id="0" w:name="_GoBack"/>
      <w:bookmarkEnd w:id="0"/>
      <w:r w:rsidRPr="00A41F5D">
        <w:rPr>
          <w:rFonts w:asciiTheme="minorHAnsi" w:hAnsiTheme="minorHAnsi" w:cstheme="minorHAnsi"/>
          <w:b/>
          <w:bCs/>
          <w:sz w:val="28"/>
          <w:szCs w:val="28"/>
        </w:rPr>
        <w:t>CITIES OUTLOOK 2018, CENTRE FOR CITIES –</w:t>
      </w:r>
      <w:r w:rsidR="000B50F9" w:rsidRPr="00A41F5D">
        <w:rPr>
          <w:rFonts w:asciiTheme="minorHAnsi" w:hAnsiTheme="minorHAnsi" w:cstheme="minorHAnsi"/>
          <w:b/>
          <w:bCs/>
          <w:sz w:val="28"/>
          <w:szCs w:val="28"/>
        </w:rPr>
        <w:t xml:space="preserve"> </w:t>
      </w:r>
      <w:r w:rsidRPr="00A41F5D">
        <w:rPr>
          <w:rFonts w:asciiTheme="minorHAnsi" w:hAnsiTheme="minorHAnsi" w:cstheme="minorHAnsi"/>
          <w:b/>
          <w:bCs/>
          <w:sz w:val="28"/>
          <w:szCs w:val="28"/>
        </w:rPr>
        <w:t>BRIGHTON &amp; HOVE</w:t>
      </w:r>
      <w:r w:rsidR="00EF08ED" w:rsidRPr="00A41F5D">
        <w:rPr>
          <w:rStyle w:val="FootnoteReference"/>
          <w:rFonts w:asciiTheme="minorHAnsi" w:hAnsiTheme="minorHAnsi" w:cstheme="minorHAnsi"/>
          <w:b/>
          <w:bCs/>
          <w:sz w:val="28"/>
          <w:szCs w:val="28"/>
        </w:rPr>
        <w:footnoteReference w:id="1"/>
      </w:r>
    </w:p>
    <w:p w:rsidR="00747177" w:rsidRDefault="00747177" w:rsidP="00CA65DC">
      <w:pPr>
        <w:autoSpaceDE w:val="0"/>
        <w:autoSpaceDN w:val="0"/>
        <w:adjustRightInd w:val="0"/>
        <w:rPr>
          <w:sz w:val="24"/>
          <w:szCs w:val="24"/>
        </w:rPr>
      </w:pPr>
    </w:p>
    <w:p w:rsidR="00A41F5D" w:rsidRPr="00A41F5D" w:rsidRDefault="00A41F5D" w:rsidP="00CA65DC">
      <w:pPr>
        <w:autoSpaceDE w:val="0"/>
        <w:autoSpaceDN w:val="0"/>
        <w:adjustRightInd w:val="0"/>
        <w:rPr>
          <w:rFonts w:asciiTheme="minorHAnsi" w:hAnsiTheme="minorHAnsi" w:cstheme="minorHAnsi"/>
          <w:b/>
          <w:iCs/>
          <w:caps/>
          <w:sz w:val="24"/>
          <w:szCs w:val="24"/>
        </w:rPr>
      </w:pPr>
      <w:r w:rsidRPr="00A41F5D">
        <w:rPr>
          <w:rFonts w:asciiTheme="minorHAnsi" w:hAnsiTheme="minorHAnsi" w:cstheme="minorHAnsi"/>
          <w:b/>
          <w:iCs/>
          <w:caps/>
          <w:sz w:val="24"/>
          <w:szCs w:val="24"/>
        </w:rPr>
        <w:t>The State of Urban Britain in 2018</w:t>
      </w:r>
    </w:p>
    <w:p w:rsidR="00A41F5D" w:rsidRDefault="00A41F5D" w:rsidP="00CA65DC">
      <w:pPr>
        <w:autoSpaceDE w:val="0"/>
        <w:autoSpaceDN w:val="0"/>
        <w:adjustRightInd w:val="0"/>
        <w:rPr>
          <w:rFonts w:asciiTheme="minorHAnsi" w:hAnsiTheme="minorHAnsi" w:cstheme="minorHAnsi"/>
          <w:iCs/>
        </w:rPr>
      </w:pPr>
    </w:p>
    <w:p w:rsidR="00A41F5D" w:rsidRDefault="00A41F5D" w:rsidP="00CA65DC">
      <w:pPr>
        <w:autoSpaceDE w:val="0"/>
        <w:autoSpaceDN w:val="0"/>
        <w:adjustRightInd w:val="0"/>
        <w:rPr>
          <w:rFonts w:asciiTheme="minorHAnsi" w:hAnsiTheme="minorHAnsi" w:cstheme="minorHAnsi"/>
        </w:rPr>
      </w:pPr>
      <w:r w:rsidRPr="002D7544">
        <w:rPr>
          <w:rFonts w:asciiTheme="minorHAnsi" w:hAnsiTheme="minorHAnsi" w:cstheme="minorHAnsi"/>
          <w:iCs/>
        </w:rPr>
        <w:t xml:space="preserve">Cities Outlook 2018 </w:t>
      </w:r>
      <w:r>
        <w:rPr>
          <w:rFonts w:asciiTheme="minorHAnsi" w:hAnsiTheme="minorHAnsi" w:cstheme="minorHAnsi"/>
          <w:iCs/>
        </w:rPr>
        <w:t xml:space="preserve">also </w:t>
      </w:r>
      <w:r w:rsidRPr="002D7544">
        <w:rPr>
          <w:rFonts w:asciiTheme="minorHAnsi" w:hAnsiTheme="minorHAnsi" w:cstheme="minorHAnsi"/>
          <w:iCs/>
        </w:rPr>
        <w:t xml:space="preserve">looks at the state of urban Britain in 2018 and indicates it is divided, both in terms of politics and economics.  It </w:t>
      </w:r>
      <w:r w:rsidRPr="002D7544">
        <w:rPr>
          <w:rFonts w:asciiTheme="minorHAnsi" w:hAnsiTheme="minorHAnsi" w:cstheme="minorHAnsi"/>
        </w:rPr>
        <w:t>shows the extent of these divides and the implications they have for the future.</w:t>
      </w:r>
      <w:r>
        <w:rPr>
          <w:rFonts w:asciiTheme="minorHAnsi" w:hAnsiTheme="minorHAnsi" w:cstheme="minorHAnsi"/>
        </w:rPr>
        <w:t xml:space="preserve">   </w:t>
      </w:r>
    </w:p>
    <w:p w:rsidR="00A41F5D" w:rsidRDefault="00A41F5D" w:rsidP="00CA65DC">
      <w:pPr>
        <w:autoSpaceDE w:val="0"/>
        <w:autoSpaceDN w:val="0"/>
        <w:adjustRightInd w:val="0"/>
        <w:rPr>
          <w:rFonts w:asciiTheme="minorHAnsi" w:hAnsiTheme="minorHAnsi" w:cstheme="minorHAnsi"/>
        </w:rPr>
      </w:pPr>
    </w:p>
    <w:p w:rsidR="00A41F5D" w:rsidRDefault="00A41F5D" w:rsidP="00CA65DC">
      <w:pPr>
        <w:autoSpaceDE w:val="0"/>
        <w:autoSpaceDN w:val="0"/>
        <w:adjustRightInd w:val="0"/>
        <w:rPr>
          <w:rFonts w:asciiTheme="minorHAnsi" w:hAnsiTheme="minorHAnsi" w:cstheme="minorHAnsi"/>
        </w:rPr>
      </w:pPr>
      <w:r>
        <w:rPr>
          <w:rFonts w:asciiTheme="minorHAnsi" w:hAnsiTheme="minorHAnsi" w:cstheme="minorHAnsi"/>
        </w:rPr>
        <w:t xml:space="preserve">It finds that over half of voters in cities in the Greater South East chose to remain in the EU (54% remain) but it was the reverse elsewhere in the UK (54% voted to leave). It points towards cities outside the Greater South East tending to be less productive, have lower employment rates and lower average wages.  </w:t>
      </w:r>
    </w:p>
    <w:p w:rsidR="00A41F5D" w:rsidRDefault="00A41F5D" w:rsidP="00CA65DC">
      <w:pPr>
        <w:autoSpaceDE w:val="0"/>
        <w:autoSpaceDN w:val="0"/>
        <w:adjustRightInd w:val="0"/>
        <w:rPr>
          <w:rFonts w:asciiTheme="minorHAnsi" w:hAnsiTheme="minorHAnsi" w:cstheme="minorHAnsi"/>
        </w:rPr>
      </w:pPr>
    </w:p>
    <w:p w:rsidR="00A41F5D" w:rsidRDefault="00A41F5D" w:rsidP="00CA65DC">
      <w:pPr>
        <w:autoSpaceDE w:val="0"/>
        <w:autoSpaceDN w:val="0"/>
        <w:adjustRightInd w:val="0"/>
        <w:rPr>
          <w:rFonts w:asciiTheme="minorHAnsi" w:hAnsiTheme="minorHAnsi" w:cstheme="minorHAnsi"/>
        </w:rPr>
      </w:pPr>
      <w:r>
        <w:rPr>
          <w:rFonts w:asciiTheme="minorHAnsi" w:hAnsiTheme="minorHAnsi" w:cstheme="minorHAnsi"/>
        </w:rPr>
        <w:t>To bridge the divide the report talks about empowering cities and people – e.g. leaders having the power and direct mandate to address local challenges and young people entering work and older people at risk of redundancy ensuring they have skills for the labour market.</w:t>
      </w:r>
    </w:p>
    <w:p w:rsidR="00A41F5D" w:rsidRDefault="00A41F5D" w:rsidP="00CA65DC">
      <w:pPr>
        <w:autoSpaceDE w:val="0"/>
        <w:autoSpaceDN w:val="0"/>
        <w:adjustRightInd w:val="0"/>
        <w:rPr>
          <w:sz w:val="24"/>
          <w:szCs w:val="24"/>
        </w:rPr>
      </w:pPr>
    </w:p>
    <w:p w:rsidR="00A41F5D" w:rsidRPr="00A41F5D" w:rsidRDefault="00A41F5D" w:rsidP="00CA65DC">
      <w:pPr>
        <w:autoSpaceDE w:val="0"/>
        <w:autoSpaceDN w:val="0"/>
        <w:adjustRightInd w:val="0"/>
        <w:rPr>
          <w:b/>
          <w:sz w:val="24"/>
          <w:szCs w:val="24"/>
        </w:rPr>
      </w:pPr>
      <w:r w:rsidRPr="00A41F5D">
        <w:rPr>
          <w:b/>
          <w:sz w:val="24"/>
          <w:szCs w:val="24"/>
        </w:rPr>
        <w:t>THE FUTURE OF WORK IN CITIES</w:t>
      </w:r>
    </w:p>
    <w:p w:rsidR="00A41F5D" w:rsidRDefault="00A41F5D" w:rsidP="00CA65DC">
      <w:pPr>
        <w:autoSpaceDE w:val="0"/>
        <w:autoSpaceDN w:val="0"/>
        <w:adjustRightInd w:val="0"/>
        <w:rPr>
          <w:sz w:val="24"/>
          <w:szCs w:val="24"/>
        </w:rPr>
      </w:pPr>
    </w:p>
    <w:p w:rsidR="00EF08ED" w:rsidRPr="00A41F5D" w:rsidRDefault="00A41F5D" w:rsidP="00CA65DC">
      <w:pPr>
        <w:autoSpaceDE w:val="0"/>
        <w:autoSpaceDN w:val="0"/>
        <w:adjustRightInd w:val="0"/>
        <w:rPr>
          <w:rFonts w:asciiTheme="minorHAnsi" w:hAnsiTheme="minorHAnsi" w:cstheme="minorHAnsi"/>
        </w:rPr>
      </w:pPr>
      <w:r>
        <w:rPr>
          <w:rFonts w:asciiTheme="minorHAnsi" w:hAnsiTheme="minorHAnsi" w:cstheme="minorHAnsi"/>
        </w:rPr>
        <w:t xml:space="preserve">The report focuses </w:t>
      </w:r>
      <w:r w:rsidR="00EF679A" w:rsidRPr="001F3A6E">
        <w:rPr>
          <w:rFonts w:asciiTheme="minorHAnsi" w:hAnsiTheme="minorHAnsi" w:cstheme="minorHAnsi"/>
        </w:rPr>
        <w:t xml:space="preserve">on the </w:t>
      </w:r>
      <w:r w:rsidR="00EF679A" w:rsidRPr="001F3A6E">
        <w:rPr>
          <w:rFonts w:asciiTheme="minorHAnsi" w:hAnsiTheme="minorHAnsi" w:cstheme="minorHAnsi"/>
          <w:bCs/>
        </w:rPr>
        <w:t xml:space="preserve">potential impact of automation and globalisation in driving both jobs </w:t>
      </w:r>
      <w:r w:rsidR="00EF679A" w:rsidRPr="001F3A6E">
        <w:rPr>
          <w:rFonts w:asciiTheme="minorHAnsi" w:hAnsiTheme="minorHAnsi" w:cstheme="minorHAnsi"/>
          <w:bCs/>
          <w:iCs/>
        </w:rPr>
        <w:t>growth</w:t>
      </w:r>
      <w:r w:rsidR="00EF679A" w:rsidRPr="001F3A6E">
        <w:rPr>
          <w:rFonts w:asciiTheme="minorHAnsi" w:hAnsiTheme="minorHAnsi" w:cstheme="minorHAnsi"/>
          <w:bCs/>
        </w:rPr>
        <w:t xml:space="preserve"> and job </w:t>
      </w:r>
      <w:r w:rsidR="00EF679A" w:rsidRPr="001F3A6E">
        <w:rPr>
          <w:rFonts w:asciiTheme="minorHAnsi" w:hAnsiTheme="minorHAnsi" w:cstheme="minorHAnsi"/>
          <w:bCs/>
          <w:iCs/>
        </w:rPr>
        <w:t>losses</w:t>
      </w:r>
      <w:r w:rsidR="00EF679A" w:rsidRPr="001F3A6E">
        <w:rPr>
          <w:rFonts w:asciiTheme="minorHAnsi" w:hAnsiTheme="minorHAnsi" w:cstheme="minorHAnsi"/>
          <w:bCs/>
        </w:rPr>
        <w:t xml:space="preserve"> in </w:t>
      </w:r>
      <w:r w:rsidR="00195A73" w:rsidRPr="001F3A6E">
        <w:rPr>
          <w:rFonts w:asciiTheme="minorHAnsi" w:hAnsiTheme="minorHAnsi" w:cstheme="minorHAnsi"/>
          <w:bCs/>
        </w:rPr>
        <w:t>UK</w:t>
      </w:r>
      <w:r w:rsidR="00EF679A" w:rsidRPr="001F3A6E">
        <w:rPr>
          <w:rFonts w:asciiTheme="minorHAnsi" w:hAnsiTheme="minorHAnsi" w:cstheme="minorHAnsi"/>
          <w:bCs/>
        </w:rPr>
        <w:t xml:space="preserve"> cities</w:t>
      </w:r>
      <w:r w:rsidR="00EF679A" w:rsidRPr="001F3A6E">
        <w:rPr>
          <w:rFonts w:asciiTheme="minorHAnsi" w:hAnsiTheme="minorHAnsi" w:cstheme="minorHAnsi"/>
        </w:rPr>
        <w:t xml:space="preserve"> over the coming decades.</w:t>
      </w:r>
      <w:r>
        <w:rPr>
          <w:rFonts w:asciiTheme="minorHAnsi" w:hAnsiTheme="minorHAnsi" w:cstheme="minorHAnsi"/>
        </w:rPr>
        <w:t xml:space="preserve">  </w:t>
      </w:r>
      <w:r w:rsidR="00D87FFA" w:rsidRPr="001F3A6E">
        <w:rPr>
          <w:rFonts w:asciiTheme="minorHAnsi" w:hAnsiTheme="minorHAnsi" w:cstheme="minorHAnsi"/>
          <w:bCs/>
        </w:rPr>
        <w:t>Automation and globalisation will boost jobs in British cities over the coming decades, but</w:t>
      </w:r>
      <w:r w:rsidR="00EF08ED" w:rsidRPr="001F3A6E">
        <w:rPr>
          <w:rFonts w:asciiTheme="minorHAnsi" w:hAnsiTheme="minorHAnsi" w:cstheme="minorHAnsi"/>
          <w:bCs/>
        </w:rPr>
        <w:t>:</w:t>
      </w:r>
      <w:r w:rsidR="00D87FFA" w:rsidRPr="001F3A6E">
        <w:rPr>
          <w:rFonts w:asciiTheme="minorHAnsi" w:hAnsiTheme="minorHAnsi" w:cstheme="minorHAnsi"/>
          <w:bCs/>
        </w:rPr>
        <w:t xml:space="preserve"> </w:t>
      </w:r>
    </w:p>
    <w:p w:rsidR="00EF08ED" w:rsidRPr="001F3A6E" w:rsidRDefault="00EF08ED" w:rsidP="00CA65DC">
      <w:pPr>
        <w:rPr>
          <w:rFonts w:asciiTheme="minorHAnsi" w:hAnsiTheme="minorHAnsi" w:cstheme="minorHAnsi"/>
          <w:bCs/>
        </w:rPr>
      </w:pPr>
    </w:p>
    <w:p w:rsidR="00EF08ED" w:rsidRPr="001F3A6E" w:rsidRDefault="00EF08ED" w:rsidP="00CA65DC">
      <w:pPr>
        <w:pStyle w:val="ListParagraph"/>
        <w:numPr>
          <w:ilvl w:val="0"/>
          <w:numId w:val="4"/>
        </w:numPr>
        <w:ind w:left="360"/>
        <w:rPr>
          <w:rFonts w:asciiTheme="minorHAnsi" w:hAnsiTheme="minorHAnsi" w:cstheme="minorHAnsi"/>
          <w:bCs/>
        </w:rPr>
      </w:pPr>
      <w:r w:rsidRPr="001F3A6E">
        <w:rPr>
          <w:rFonts w:asciiTheme="minorHAnsi" w:hAnsiTheme="minorHAnsi" w:cstheme="minorHAnsi"/>
          <w:bCs/>
        </w:rPr>
        <w:t xml:space="preserve">It </w:t>
      </w:r>
      <w:r w:rsidR="00D87FFA" w:rsidRPr="001F3A6E">
        <w:rPr>
          <w:rFonts w:asciiTheme="minorHAnsi" w:hAnsiTheme="minorHAnsi" w:cstheme="minorHAnsi"/>
          <w:bCs/>
        </w:rPr>
        <w:t xml:space="preserve">will also deepen economic and political divisions across the country – with Northern and Midlands cities more exposed to job losses </w:t>
      </w:r>
      <w:r w:rsidR="00FA6A77" w:rsidRPr="001F3A6E">
        <w:rPr>
          <w:rFonts w:asciiTheme="minorHAnsi" w:hAnsiTheme="minorHAnsi" w:cstheme="minorHAnsi"/>
          <w:bCs/>
        </w:rPr>
        <w:t xml:space="preserve">(almost 30%) </w:t>
      </w:r>
      <w:r w:rsidR="00D87FFA" w:rsidRPr="001F3A6E">
        <w:rPr>
          <w:rFonts w:asciiTheme="minorHAnsi" w:hAnsiTheme="minorHAnsi" w:cstheme="minorHAnsi"/>
          <w:bCs/>
        </w:rPr>
        <w:t>than cities in the South.</w:t>
      </w:r>
    </w:p>
    <w:p w:rsidR="00FA6A77" w:rsidRPr="001F3A6E" w:rsidRDefault="00EF679A" w:rsidP="00CA65DC">
      <w:pPr>
        <w:pStyle w:val="ListParagraph"/>
        <w:numPr>
          <w:ilvl w:val="0"/>
          <w:numId w:val="1"/>
        </w:numPr>
        <w:autoSpaceDE w:val="0"/>
        <w:autoSpaceDN w:val="0"/>
        <w:adjustRightInd w:val="0"/>
        <w:rPr>
          <w:rFonts w:asciiTheme="minorHAnsi" w:hAnsiTheme="minorHAnsi" w:cstheme="minorHAnsi"/>
          <w:bCs/>
        </w:rPr>
      </w:pPr>
      <w:r w:rsidRPr="001F3A6E">
        <w:rPr>
          <w:rFonts w:asciiTheme="minorHAnsi" w:hAnsiTheme="minorHAnsi" w:cstheme="minorHAnsi"/>
          <w:bCs/>
        </w:rPr>
        <w:t>1 in 5 existing jobs in British cities are likely to be displaced by 2030</w:t>
      </w:r>
      <w:r w:rsidRPr="001F3A6E">
        <w:rPr>
          <w:rFonts w:asciiTheme="minorHAnsi" w:hAnsiTheme="minorHAnsi" w:cstheme="minorHAnsi"/>
        </w:rPr>
        <w:t xml:space="preserve"> as a result of automation and globalisation – amounting to </w:t>
      </w:r>
      <w:r w:rsidRPr="001F3A6E">
        <w:rPr>
          <w:rFonts w:asciiTheme="minorHAnsi" w:hAnsiTheme="minorHAnsi" w:cstheme="minorHAnsi"/>
          <w:bCs/>
        </w:rPr>
        <w:t>3.6m jobs</w:t>
      </w:r>
      <w:r w:rsidRPr="001F3A6E">
        <w:rPr>
          <w:rFonts w:asciiTheme="minorHAnsi" w:hAnsiTheme="minorHAnsi" w:cstheme="minorHAnsi"/>
        </w:rPr>
        <w:t xml:space="preserve"> (20.2% of the current workforce) in total – with retail occupations, customer service roles and warehouse jobs among those most at threat.</w:t>
      </w:r>
      <w:r w:rsidR="00FA6A77" w:rsidRPr="001F3A6E">
        <w:rPr>
          <w:rFonts w:asciiTheme="minorHAnsi" w:hAnsiTheme="minorHAnsi" w:cstheme="minorHAnsi"/>
        </w:rPr>
        <w:t xml:space="preserve"> </w:t>
      </w:r>
    </w:p>
    <w:p w:rsidR="00D87FFA" w:rsidRPr="001F3A6E" w:rsidRDefault="00D87FFA" w:rsidP="00CA65DC">
      <w:pPr>
        <w:pStyle w:val="ListParagraph"/>
        <w:numPr>
          <w:ilvl w:val="0"/>
          <w:numId w:val="1"/>
        </w:numPr>
        <w:autoSpaceDE w:val="0"/>
        <w:autoSpaceDN w:val="0"/>
        <w:adjustRightInd w:val="0"/>
        <w:rPr>
          <w:rFonts w:asciiTheme="minorHAnsi" w:hAnsiTheme="minorHAnsi" w:cstheme="minorHAnsi"/>
          <w:bCs/>
        </w:rPr>
      </w:pPr>
      <w:r w:rsidRPr="001F3A6E">
        <w:rPr>
          <w:rFonts w:asciiTheme="minorHAnsi" w:hAnsiTheme="minorHAnsi" w:cstheme="minorHAnsi"/>
          <w:bCs/>
        </w:rPr>
        <w:t>Around 19% o</w:t>
      </w:r>
      <w:r w:rsidR="00FA6A77" w:rsidRPr="001F3A6E">
        <w:rPr>
          <w:rFonts w:asciiTheme="minorHAnsi" w:hAnsiTheme="minorHAnsi" w:cstheme="minorHAnsi"/>
          <w:bCs/>
        </w:rPr>
        <w:t xml:space="preserve">f jobs </w:t>
      </w:r>
      <w:r w:rsidR="00EF679A" w:rsidRPr="001F3A6E">
        <w:rPr>
          <w:rFonts w:asciiTheme="minorHAnsi" w:hAnsiTheme="minorHAnsi" w:cstheme="minorHAnsi"/>
          <w:bCs/>
        </w:rPr>
        <w:t xml:space="preserve">(32,000 jobs) </w:t>
      </w:r>
      <w:r w:rsidR="00FA6A77" w:rsidRPr="001F3A6E">
        <w:rPr>
          <w:rFonts w:asciiTheme="minorHAnsi" w:hAnsiTheme="minorHAnsi" w:cstheme="minorHAnsi"/>
          <w:bCs/>
        </w:rPr>
        <w:t xml:space="preserve">are </w:t>
      </w:r>
      <w:r w:rsidR="00EF679A" w:rsidRPr="001F3A6E">
        <w:rPr>
          <w:rFonts w:asciiTheme="minorHAnsi" w:hAnsiTheme="minorHAnsi" w:cstheme="minorHAnsi"/>
          <w:bCs/>
        </w:rPr>
        <w:t xml:space="preserve">likely to be displaced </w:t>
      </w:r>
      <w:r w:rsidR="00FA6A77" w:rsidRPr="001F3A6E">
        <w:rPr>
          <w:rFonts w:asciiTheme="minorHAnsi" w:hAnsiTheme="minorHAnsi" w:cstheme="minorHAnsi"/>
          <w:bCs/>
        </w:rPr>
        <w:t xml:space="preserve">in Brighton </w:t>
      </w:r>
      <w:r w:rsidR="00EF679A" w:rsidRPr="001F3A6E">
        <w:rPr>
          <w:rFonts w:asciiTheme="minorHAnsi" w:hAnsiTheme="minorHAnsi" w:cstheme="minorHAnsi"/>
          <w:bCs/>
        </w:rPr>
        <w:t xml:space="preserve">by 2030 </w:t>
      </w:r>
      <w:r w:rsidRPr="001F3A6E">
        <w:rPr>
          <w:rFonts w:asciiTheme="minorHAnsi" w:hAnsiTheme="minorHAnsi" w:cstheme="minorHAnsi"/>
          <w:bCs/>
        </w:rPr>
        <w:t xml:space="preserve">but </w:t>
      </w:r>
      <w:r w:rsidR="00EF679A" w:rsidRPr="001F3A6E">
        <w:rPr>
          <w:rFonts w:asciiTheme="minorHAnsi" w:hAnsiTheme="minorHAnsi" w:cstheme="minorHAnsi"/>
          <w:bCs/>
        </w:rPr>
        <w:t xml:space="preserve">it </w:t>
      </w:r>
      <w:r w:rsidR="00FA6A77" w:rsidRPr="001F3A6E">
        <w:rPr>
          <w:rFonts w:asciiTheme="minorHAnsi" w:hAnsiTheme="minorHAnsi" w:cstheme="minorHAnsi"/>
          <w:bCs/>
        </w:rPr>
        <w:t>is among those</w:t>
      </w:r>
      <w:r w:rsidRPr="001F3A6E">
        <w:rPr>
          <w:rFonts w:asciiTheme="minorHAnsi" w:hAnsiTheme="minorHAnsi" w:cstheme="minorHAnsi"/>
          <w:bCs/>
        </w:rPr>
        <w:t xml:space="preserve"> cities least exposed to job losses resulting from these changes</w:t>
      </w:r>
      <w:r w:rsidR="00FA6A77" w:rsidRPr="001F3A6E">
        <w:rPr>
          <w:rFonts w:asciiTheme="minorHAnsi" w:hAnsiTheme="minorHAnsi" w:cstheme="minorHAnsi"/>
          <w:bCs/>
        </w:rPr>
        <w:t>, including Cambridge and Oxford (&lt;15%).</w:t>
      </w:r>
    </w:p>
    <w:p w:rsidR="00D87FFA" w:rsidRPr="001F3A6E" w:rsidRDefault="00D87FFA" w:rsidP="00CA65DC">
      <w:pPr>
        <w:autoSpaceDE w:val="0"/>
        <w:autoSpaceDN w:val="0"/>
        <w:adjustRightInd w:val="0"/>
        <w:ind w:left="360"/>
        <w:rPr>
          <w:rFonts w:asciiTheme="minorHAnsi" w:hAnsiTheme="minorHAnsi" w:cstheme="minorHAnsi"/>
          <w:b/>
          <w:bCs/>
          <w:color w:val="008A53"/>
        </w:rPr>
      </w:pPr>
    </w:p>
    <w:tbl>
      <w:tblPr>
        <w:tblW w:w="10079" w:type="dxa"/>
        <w:tblInd w:w="-15" w:type="dxa"/>
        <w:tblCellMar>
          <w:left w:w="0" w:type="dxa"/>
          <w:right w:w="0" w:type="dxa"/>
        </w:tblCellMar>
        <w:tblLook w:val="04A0" w:firstRow="1" w:lastRow="0" w:firstColumn="1" w:lastColumn="0" w:noHBand="0" w:noVBand="1"/>
      </w:tblPr>
      <w:tblGrid>
        <w:gridCol w:w="673"/>
        <w:gridCol w:w="1893"/>
        <w:gridCol w:w="1985"/>
        <w:gridCol w:w="2693"/>
        <w:gridCol w:w="2835"/>
      </w:tblGrid>
      <w:tr w:rsidR="00ED58FC" w:rsidRPr="001F3A6E" w:rsidTr="00A41F5D">
        <w:trPr>
          <w:trHeight w:val="300"/>
        </w:trPr>
        <w:tc>
          <w:tcPr>
            <w:tcW w:w="10079" w:type="dxa"/>
            <w:gridSpan w:val="5"/>
            <w:shd w:val="clear" w:color="auto" w:fill="92D050"/>
            <w:noWrap/>
            <w:tcMar>
              <w:top w:w="0" w:type="dxa"/>
              <w:left w:w="108" w:type="dxa"/>
              <w:bottom w:w="0" w:type="dxa"/>
              <w:right w:w="108" w:type="dxa"/>
            </w:tcMar>
            <w:vAlign w:val="bottom"/>
            <w:hideMark/>
          </w:tcPr>
          <w:p w:rsidR="00ED58FC" w:rsidRPr="001F3A6E" w:rsidRDefault="00ED58FC" w:rsidP="00CA65DC">
            <w:pPr>
              <w:jc w:val="cente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 xml:space="preserve">Top 10 British cities </w:t>
            </w:r>
            <w:r w:rsidRPr="001F3A6E">
              <w:rPr>
                <w:rFonts w:asciiTheme="minorHAnsi" w:hAnsiTheme="minorHAnsi" w:cstheme="minorHAnsi"/>
                <w:b/>
                <w:bCs/>
                <w:color w:val="000000"/>
                <w:u w:val="single"/>
                <w:lang w:eastAsia="en-GB"/>
              </w:rPr>
              <w:t>least</w:t>
            </w:r>
            <w:r w:rsidRPr="001F3A6E">
              <w:rPr>
                <w:rFonts w:asciiTheme="minorHAnsi" w:hAnsiTheme="minorHAnsi" w:cstheme="minorHAnsi"/>
                <w:b/>
                <w:bCs/>
                <w:color w:val="000000"/>
                <w:lang w:eastAsia="en-GB"/>
              </w:rPr>
              <w:t xml:space="preserve"> at risk of job losses resulting from automation and globalisation</w:t>
            </w:r>
          </w:p>
        </w:tc>
      </w:tr>
      <w:tr w:rsidR="00ED58FC" w:rsidRPr="001F3A6E" w:rsidTr="00A41F5D">
        <w:trPr>
          <w:trHeight w:val="315"/>
        </w:trPr>
        <w:tc>
          <w:tcPr>
            <w:tcW w:w="673" w:type="dxa"/>
            <w:tcBorders>
              <w:top w:val="nil"/>
              <w:left w:val="nil"/>
              <w:bottom w:val="single" w:sz="1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Rank</w:t>
            </w:r>
          </w:p>
        </w:tc>
        <w:tc>
          <w:tcPr>
            <w:tcW w:w="1893" w:type="dxa"/>
            <w:tcBorders>
              <w:top w:val="nil"/>
              <w:left w:val="nil"/>
              <w:bottom w:val="single" w:sz="1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City</w:t>
            </w:r>
          </w:p>
        </w:tc>
        <w:tc>
          <w:tcPr>
            <w:tcW w:w="1985" w:type="dxa"/>
            <w:tcBorders>
              <w:top w:val="nil"/>
              <w:left w:val="nil"/>
              <w:bottom w:val="single" w:sz="1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Share of jobs likely to be lost by 2030</w:t>
            </w:r>
          </w:p>
        </w:tc>
        <w:tc>
          <w:tcPr>
            <w:tcW w:w="2693" w:type="dxa"/>
            <w:tcBorders>
              <w:top w:val="nil"/>
              <w:left w:val="nil"/>
              <w:bottom w:val="single" w:sz="1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Share of residents who voted for Brexit (rank out of 62 British cities)</w:t>
            </w:r>
          </w:p>
        </w:tc>
        <w:tc>
          <w:tcPr>
            <w:tcW w:w="2835" w:type="dxa"/>
            <w:tcBorders>
              <w:top w:val="nil"/>
              <w:left w:val="nil"/>
              <w:bottom w:val="single" w:sz="1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Average weekly workplace wages in 2017 (rank out of 62 British cities)</w:t>
            </w:r>
          </w:p>
        </w:tc>
      </w:tr>
      <w:tr w:rsidR="00ED58FC" w:rsidRPr="001F3A6E" w:rsidTr="00A41F5D">
        <w:trPr>
          <w:trHeight w:val="315"/>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Oxford</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13%</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30%    </w:t>
            </w:r>
            <w:r w:rsidRPr="001F3A6E">
              <w:rPr>
                <w:rFonts w:asciiTheme="minorHAnsi" w:hAnsiTheme="minorHAnsi" w:cstheme="minorHAnsi"/>
                <w:i/>
                <w:iCs/>
                <w:color w:val="000000"/>
                <w:lang w:eastAsia="en-GB"/>
              </w:rPr>
              <w:t>(60/62)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£600    </w:t>
            </w:r>
            <w:r w:rsidRPr="001F3A6E">
              <w:rPr>
                <w:rFonts w:asciiTheme="minorHAnsi" w:hAnsiTheme="minorHAnsi" w:cstheme="minorHAnsi"/>
                <w:i/>
                <w:iCs/>
                <w:color w:val="000000"/>
                <w:lang w:eastAsia="en-GB"/>
              </w:rPr>
              <w:t>(7/62)</w:t>
            </w:r>
          </w:p>
        </w:tc>
      </w:tr>
      <w:tr w:rsidR="00ED58FC" w:rsidRPr="001F3A6E" w:rsidTr="00A41F5D">
        <w:trPr>
          <w:trHeight w:val="300"/>
        </w:trPr>
        <w:tc>
          <w:tcPr>
            <w:tcW w:w="673" w:type="dxa"/>
            <w:tcBorders>
              <w:top w:val="nil"/>
              <w:left w:val="nil"/>
              <w:bottom w:val="single" w:sz="8" w:space="0" w:color="A0CE67"/>
              <w:right w:val="single" w:sz="8" w:space="0" w:color="A0CE67"/>
            </w:tcBorders>
            <w:shd w:val="clear" w:color="auto" w:fill="FFFFFF"/>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2</w:t>
            </w:r>
          </w:p>
        </w:tc>
        <w:tc>
          <w:tcPr>
            <w:tcW w:w="1893" w:type="dxa"/>
            <w:tcBorders>
              <w:top w:val="nil"/>
              <w:left w:val="nil"/>
              <w:bottom w:val="single" w:sz="8" w:space="0" w:color="A0CE67"/>
              <w:right w:val="single" w:sz="8" w:space="0" w:color="A0CE67"/>
            </w:tcBorders>
            <w:shd w:val="clear" w:color="auto" w:fill="FFFFFF"/>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Cambridge</w:t>
            </w:r>
          </w:p>
        </w:tc>
        <w:tc>
          <w:tcPr>
            <w:tcW w:w="1985" w:type="dxa"/>
            <w:tcBorders>
              <w:top w:val="nil"/>
              <w:left w:val="nil"/>
              <w:bottom w:val="single" w:sz="8" w:space="0" w:color="A0CE67"/>
              <w:right w:val="single" w:sz="8" w:space="0" w:color="A0CE67"/>
            </w:tcBorders>
            <w:shd w:val="clear" w:color="auto" w:fill="FFFFFF"/>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13%</w:t>
            </w:r>
          </w:p>
        </w:tc>
        <w:tc>
          <w:tcPr>
            <w:tcW w:w="2693" w:type="dxa"/>
            <w:tcBorders>
              <w:top w:val="nil"/>
              <w:left w:val="nil"/>
              <w:bottom w:val="single" w:sz="8" w:space="0" w:color="A0CE67"/>
              <w:right w:val="single" w:sz="8" w:space="0" w:color="A0CE67"/>
            </w:tcBorders>
            <w:shd w:val="clear" w:color="auto" w:fill="FFFFFF"/>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26%    </w:t>
            </w:r>
            <w:r w:rsidRPr="001F3A6E">
              <w:rPr>
                <w:rFonts w:asciiTheme="minorHAnsi" w:hAnsiTheme="minorHAnsi" w:cstheme="minorHAnsi"/>
                <w:i/>
                <w:iCs/>
                <w:color w:val="000000"/>
                <w:lang w:eastAsia="en-GB"/>
              </w:rPr>
              <w:t>(61/62)</w:t>
            </w:r>
          </w:p>
        </w:tc>
        <w:tc>
          <w:tcPr>
            <w:tcW w:w="2835" w:type="dxa"/>
            <w:tcBorders>
              <w:top w:val="nil"/>
              <w:left w:val="nil"/>
              <w:bottom w:val="single" w:sz="8" w:space="0" w:color="A0CE67"/>
              <w:right w:val="nil"/>
            </w:tcBorders>
            <w:shd w:val="clear" w:color="auto" w:fill="FFFFFF"/>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£609    </w:t>
            </w:r>
            <w:r w:rsidRPr="001F3A6E">
              <w:rPr>
                <w:rFonts w:asciiTheme="minorHAnsi" w:hAnsiTheme="minorHAnsi" w:cstheme="minorHAnsi"/>
                <w:i/>
                <w:iCs/>
                <w:color w:val="000000"/>
                <w:lang w:eastAsia="en-GB"/>
              </w:rPr>
              <w:t>(5/62)</w:t>
            </w:r>
          </w:p>
        </w:tc>
      </w:tr>
      <w:tr w:rsidR="00ED58FC" w:rsidRPr="001F3A6E" w:rsidTr="00A41F5D">
        <w:trPr>
          <w:trHeight w:val="300"/>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3</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Reading</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15%</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43%    </w:t>
            </w:r>
            <w:r w:rsidRPr="001F3A6E">
              <w:rPr>
                <w:rFonts w:asciiTheme="minorHAnsi" w:hAnsiTheme="minorHAnsi" w:cstheme="minorHAnsi"/>
                <w:i/>
                <w:iCs/>
                <w:color w:val="000000"/>
                <w:lang w:eastAsia="en-GB"/>
              </w:rPr>
              <w:t>(52/62)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£655    </w:t>
            </w:r>
            <w:r w:rsidRPr="001F3A6E">
              <w:rPr>
                <w:rFonts w:asciiTheme="minorHAnsi" w:hAnsiTheme="minorHAnsi" w:cstheme="minorHAnsi"/>
                <w:i/>
                <w:iCs/>
                <w:color w:val="000000"/>
                <w:lang w:eastAsia="en-GB"/>
              </w:rPr>
              <w:t>(2/62)</w:t>
            </w:r>
          </w:p>
        </w:tc>
      </w:tr>
      <w:tr w:rsidR="00ED58FC" w:rsidRPr="00A41F5D" w:rsidTr="00A41F5D">
        <w:trPr>
          <w:trHeight w:val="300"/>
        </w:trPr>
        <w:tc>
          <w:tcPr>
            <w:tcW w:w="673" w:type="dxa"/>
            <w:tcBorders>
              <w:top w:val="nil"/>
              <w:left w:val="nil"/>
              <w:bottom w:val="single" w:sz="8" w:space="0" w:color="A0CE67"/>
              <w:right w:val="single" w:sz="8" w:space="0" w:color="A0CE67"/>
            </w:tcBorders>
            <w:shd w:val="clear" w:color="auto" w:fill="auto"/>
            <w:tcMar>
              <w:top w:w="0" w:type="dxa"/>
              <w:left w:w="108" w:type="dxa"/>
              <w:bottom w:w="0" w:type="dxa"/>
              <w:right w:w="108" w:type="dxa"/>
            </w:tcMar>
            <w:vAlign w:val="center"/>
            <w:hideMark/>
          </w:tcPr>
          <w:p w:rsidR="00ED58FC" w:rsidRPr="00A41F5D" w:rsidRDefault="00ED58FC" w:rsidP="00CA65DC">
            <w:pPr>
              <w:jc w:val="right"/>
              <w:rPr>
                <w:rFonts w:asciiTheme="minorHAnsi" w:hAnsiTheme="minorHAnsi" w:cstheme="minorHAnsi"/>
                <w:bCs/>
                <w:color w:val="000000"/>
                <w:lang w:eastAsia="en-GB"/>
              </w:rPr>
            </w:pPr>
            <w:r w:rsidRPr="00A41F5D">
              <w:rPr>
                <w:rFonts w:asciiTheme="minorHAnsi" w:hAnsiTheme="minorHAnsi" w:cstheme="minorHAnsi"/>
                <w:bCs/>
                <w:color w:val="000000"/>
                <w:lang w:eastAsia="en-GB"/>
              </w:rPr>
              <w:t>4</w:t>
            </w:r>
          </w:p>
        </w:tc>
        <w:tc>
          <w:tcPr>
            <w:tcW w:w="1893" w:type="dxa"/>
            <w:tcBorders>
              <w:top w:val="nil"/>
              <w:left w:val="nil"/>
              <w:bottom w:val="single" w:sz="8" w:space="0" w:color="A0CE67"/>
              <w:right w:val="single" w:sz="8" w:space="0" w:color="A0CE67"/>
            </w:tcBorders>
            <w:shd w:val="clear" w:color="auto" w:fill="auto"/>
            <w:tcMar>
              <w:top w:w="0" w:type="dxa"/>
              <w:left w:w="108" w:type="dxa"/>
              <w:bottom w:w="0" w:type="dxa"/>
              <w:right w:w="108" w:type="dxa"/>
            </w:tcMar>
            <w:vAlign w:val="center"/>
            <w:hideMark/>
          </w:tcPr>
          <w:p w:rsidR="00ED58FC" w:rsidRPr="00A41F5D" w:rsidRDefault="00ED58FC" w:rsidP="00CA65DC">
            <w:pPr>
              <w:rPr>
                <w:rFonts w:asciiTheme="minorHAnsi" w:hAnsiTheme="minorHAnsi" w:cstheme="minorHAnsi"/>
                <w:b/>
                <w:bCs/>
                <w:color w:val="000000"/>
                <w:lang w:eastAsia="en-GB"/>
              </w:rPr>
            </w:pPr>
            <w:r w:rsidRPr="00A41F5D">
              <w:rPr>
                <w:rFonts w:asciiTheme="minorHAnsi" w:hAnsiTheme="minorHAnsi" w:cstheme="minorHAnsi"/>
                <w:b/>
                <w:bCs/>
                <w:color w:val="000000"/>
                <w:lang w:eastAsia="en-GB"/>
              </w:rPr>
              <w:t>Worthing</w:t>
            </w:r>
          </w:p>
        </w:tc>
        <w:tc>
          <w:tcPr>
            <w:tcW w:w="1985" w:type="dxa"/>
            <w:tcBorders>
              <w:top w:val="nil"/>
              <w:left w:val="nil"/>
              <w:bottom w:val="single" w:sz="8" w:space="0" w:color="A0CE67"/>
              <w:right w:val="single" w:sz="8" w:space="0" w:color="A0CE67"/>
            </w:tcBorders>
            <w:shd w:val="clear" w:color="auto" w:fill="auto"/>
            <w:tcMar>
              <w:top w:w="0" w:type="dxa"/>
              <w:left w:w="108" w:type="dxa"/>
              <w:bottom w:w="0" w:type="dxa"/>
              <w:right w:w="108" w:type="dxa"/>
            </w:tcMar>
            <w:vAlign w:val="center"/>
            <w:hideMark/>
          </w:tcPr>
          <w:p w:rsidR="00ED58FC" w:rsidRPr="00A41F5D" w:rsidRDefault="00ED58FC" w:rsidP="00CA65DC">
            <w:pPr>
              <w:jc w:val="right"/>
              <w:rPr>
                <w:rFonts w:asciiTheme="minorHAnsi" w:hAnsiTheme="minorHAnsi" w:cstheme="minorHAnsi"/>
                <w:bCs/>
                <w:color w:val="000000"/>
                <w:lang w:eastAsia="en-GB"/>
              </w:rPr>
            </w:pPr>
            <w:r w:rsidRPr="00A41F5D">
              <w:rPr>
                <w:rFonts w:asciiTheme="minorHAnsi" w:hAnsiTheme="minorHAnsi" w:cstheme="minorHAnsi"/>
                <w:bCs/>
                <w:color w:val="000000"/>
                <w:lang w:eastAsia="en-GB"/>
              </w:rPr>
              <w:t>16%</w:t>
            </w:r>
          </w:p>
        </w:tc>
        <w:tc>
          <w:tcPr>
            <w:tcW w:w="2693" w:type="dxa"/>
            <w:tcBorders>
              <w:top w:val="nil"/>
              <w:left w:val="nil"/>
              <w:bottom w:val="single" w:sz="8" w:space="0" w:color="A0CE67"/>
              <w:right w:val="single" w:sz="8" w:space="0" w:color="A0CE67"/>
            </w:tcBorders>
            <w:shd w:val="clear" w:color="auto" w:fill="auto"/>
            <w:tcMar>
              <w:top w:w="0" w:type="dxa"/>
              <w:left w:w="108" w:type="dxa"/>
              <w:bottom w:w="0" w:type="dxa"/>
              <w:right w:w="108" w:type="dxa"/>
            </w:tcMar>
            <w:vAlign w:val="center"/>
            <w:hideMark/>
          </w:tcPr>
          <w:p w:rsidR="00ED58FC" w:rsidRPr="00A41F5D" w:rsidRDefault="00ED58FC" w:rsidP="00CA65DC">
            <w:pPr>
              <w:jc w:val="right"/>
              <w:rPr>
                <w:rFonts w:asciiTheme="minorHAnsi" w:hAnsiTheme="minorHAnsi" w:cstheme="minorHAnsi"/>
                <w:bCs/>
                <w:color w:val="000000"/>
                <w:lang w:eastAsia="en-GB"/>
              </w:rPr>
            </w:pPr>
            <w:r w:rsidRPr="00A41F5D">
              <w:rPr>
                <w:rFonts w:asciiTheme="minorHAnsi" w:hAnsiTheme="minorHAnsi" w:cstheme="minorHAnsi"/>
                <w:bCs/>
                <w:color w:val="000000"/>
                <w:lang w:eastAsia="en-GB"/>
              </w:rPr>
              <w:t xml:space="preserve">53%    </w:t>
            </w:r>
            <w:r w:rsidRPr="00A41F5D">
              <w:rPr>
                <w:rFonts w:asciiTheme="minorHAnsi" w:hAnsiTheme="minorHAnsi" w:cstheme="minorHAnsi"/>
                <w:bCs/>
                <w:i/>
                <w:iCs/>
                <w:color w:val="000000"/>
                <w:lang w:eastAsia="en-GB"/>
              </w:rPr>
              <w:t>(42/62)</w:t>
            </w:r>
          </w:p>
        </w:tc>
        <w:tc>
          <w:tcPr>
            <w:tcW w:w="2835" w:type="dxa"/>
            <w:tcBorders>
              <w:top w:val="nil"/>
              <w:left w:val="nil"/>
              <w:bottom w:val="single" w:sz="8" w:space="0" w:color="A0CE67"/>
              <w:right w:val="nil"/>
            </w:tcBorders>
            <w:shd w:val="clear" w:color="auto" w:fill="auto"/>
            <w:tcMar>
              <w:top w:w="0" w:type="dxa"/>
              <w:left w:w="108" w:type="dxa"/>
              <w:bottom w:w="0" w:type="dxa"/>
              <w:right w:w="108" w:type="dxa"/>
            </w:tcMar>
            <w:vAlign w:val="center"/>
            <w:hideMark/>
          </w:tcPr>
          <w:p w:rsidR="00ED58FC" w:rsidRPr="00A41F5D" w:rsidRDefault="00ED58FC" w:rsidP="00CA65DC">
            <w:pPr>
              <w:jc w:val="right"/>
              <w:rPr>
                <w:rFonts w:asciiTheme="minorHAnsi" w:hAnsiTheme="minorHAnsi" w:cstheme="minorHAnsi"/>
                <w:bCs/>
                <w:color w:val="000000"/>
                <w:lang w:eastAsia="en-GB"/>
              </w:rPr>
            </w:pPr>
            <w:r w:rsidRPr="00A41F5D">
              <w:rPr>
                <w:rFonts w:asciiTheme="minorHAnsi" w:hAnsiTheme="minorHAnsi" w:cstheme="minorHAnsi"/>
                <w:bCs/>
                <w:color w:val="000000"/>
                <w:lang w:eastAsia="en-GB"/>
              </w:rPr>
              <w:t xml:space="preserve">£455    </w:t>
            </w:r>
            <w:r w:rsidRPr="00A41F5D">
              <w:rPr>
                <w:rFonts w:asciiTheme="minorHAnsi" w:hAnsiTheme="minorHAnsi" w:cstheme="minorHAnsi"/>
                <w:bCs/>
                <w:i/>
                <w:iCs/>
                <w:color w:val="000000"/>
                <w:lang w:eastAsia="en-GB"/>
              </w:rPr>
              <w:t>(55/62)</w:t>
            </w:r>
          </w:p>
        </w:tc>
      </w:tr>
      <w:tr w:rsidR="00ED58FC" w:rsidRPr="001F3A6E" w:rsidTr="00A41F5D">
        <w:trPr>
          <w:trHeight w:val="300"/>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5</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London</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16%</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42%    </w:t>
            </w:r>
            <w:r w:rsidRPr="001F3A6E">
              <w:rPr>
                <w:rFonts w:asciiTheme="minorHAnsi" w:hAnsiTheme="minorHAnsi" w:cstheme="minorHAnsi"/>
                <w:i/>
                <w:iCs/>
                <w:color w:val="000000"/>
                <w:lang w:eastAsia="en-GB"/>
              </w:rPr>
              <w:t>(53/62)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£727    </w:t>
            </w:r>
            <w:r w:rsidRPr="001F3A6E">
              <w:rPr>
                <w:rFonts w:asciiTheme="minorHAnsi" w:hAnsiTheme="minorHAnsi" w:cstheme="minorHAnsi"/>
                <w:i/>
                <w:iCs/>
                <w:color w:val="000000"/>
                <w:lang w:eastAsia="en-GB"/>
              </w:rPr>
              <w:t>(1/62)</w:t>
            </w:r>
          </w:p>
        </w:tc>
      </w:tr>
      <w:tr w:rsidR="00ED58FC" w:rsidRPr="001F3A6E" w:rsidTr="00A41F5D">
        <w:trPr>
          <w:trHeight w:val="300"/>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6</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Edinburgh</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18%</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26%    </w:t>
            </w:r>
            <w:r w:rsidRPr="001F3A6E">
              <w:rPr>
                <w:rFonts w:asciiTheme="minorHAnsi" w:hAnsiTheme="minorHAnsi" w:cstheme="minorHAnsi"/>
                <w:i/>
                <w:iCs/>
                <w:color w:val="000000"/>
                <w:lang w:eastAsia="en-GB"/>
              </w:rPr>
              <w:t>(62/62)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£598    </w:t>
            </w:r>
            <w:r w:rsidRPr="001F3A6E">
              <w:rPr>
                <w:rFonts w:asciiTheme="minorHAnsi" w:hAnsiTheme="minorHAnsi" w:cstheme="minorHAnsi"/>
                <w:i/>
                <w:iCs/>
                <w:color w:val="000000"/>
                <w:lang w:eastAsia="en-GB"/>
              </w:rPr>
              <w:t>(8/62)</w:t>
            </w:r>
          </w:p>
        </w:tc>
      </w:tr>
      <w:tr w:rsidR="00ED58FC" w:rsidRPr="001F3A6E" w:rsidTr="00A41F5D">
        <w:trPr>
          <w:trHeight w:val="300"/>
        </w:trPr>
        <w:tc>
          <w:tcPr>
            <w:tcW w:w="673" w:type="dxa"/>
            <w:tcBorders>
              <w:top w:val="nil"/>
              <w:left w:val="nil"/>
              <w:bottom w:val="single" w:sz="8" w:space="0" w:color="A0CE67"/>
              <w:right w:val="single" w:sz="8" w:space="0" w:color="A0CE67"/>
            </w:tcBorders>
            <w:shd w:val="clear" w:color="auto" w:fill="FFFF0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7</w:t>
            </w:r>
          </w:p>
        </w:tc>
        <w:tc>
          <w:tcPr>
            <w:tcW w:w="1893" w:type="dxa"/>
            <w:tcBorders>
              <w:top w:val="nil"/>
              <w:left w:val="nil"/>
              <w:bottom w:val="single" w:sz="8" w:space="0" w:color="A0CE67"/>
              <w:right w:val="single" w:sz="8" w:space="0" w:color="A0CE67"/>
            </w:tcBorders>
            <w:shd w:val="clear" w:color="auto" w:fill="FFFF00"/>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Brighton</w:t>
            </w:r>
          </w:p>
        </w:tc>
        <w:tc>
          <w:tcPr>
            <w:tcW w:w="1985" w:type="dxa"/>
            <w:tcBorders>
              <w:top w:val="nil"/>
              <w:left w:val="nil"/>
              <w:bottom w:val="single" w:sz="8" w:space="0" w:color="A0CE67"/>
              <w:right w:val="single" w:sz="8" w:space="0" w:color="A0CE67"/>
            </w:tcBorders>
            <w:shd w:val="clear" w:color="auto" w:fill="FFFF0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19%</w:t>
            </w:r>
          </w:p>
        </w:tc>
        <w:tc>
          <w:tcPr>
            <w:tcW w:w="2693" w:type="dxa"/>
            <w:tcBorders>
              <w:top w:val="nil"/>
              <w:left w:val="nil"/>
              <w:bottom w:val="single" w:sz="8" w:space="0" w:color="A0CE67"/>
              <w:right w:val="single" w:sz="8" w:space="0" w:color="A0CE67"/>
            </w:tcBorders>
            <w:shd w:val="clear" w:color="auto" w:fill="FFFF0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 xml:space="preserve">36%    </w:t>
            </w:r>
            <w:r w:rsidRPr="001F3A6E">
              <w:rPr>
                <w:rFonts w:asciiTheme="minorHAnsi" w:hAnsiTheme="minorHAnsi" w:cstheme="minorHAnsi"/>
                <w:b/>
                <w:bCs/>
                <w:i/>
                <w:iCs/>
                <w:color w:val="000000"/>
                <w:lang w:eastAsia="en-GB"/>
              </w:rPr>
              <w:t>(58/62)</w:t>
            </w:r>
          </w:p>
        </w:tc>
        <w:tc>
          <w:tcPr>
            <w:tcW w:w="2835" w:type="dxa"/>
            <w:tcBorders>
              <w:top w:val="nil"/>
              <w:left w:val="nil"/>
              <w:bottom w:val="single" w:sz="8" w:space="0" w:color="A0CE67"/>
              <w:right w:val="nil"/>
            </w:tcBorders>
            <w:shd w:val="clear" w:color="auto" w:fill="FFFF0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 xml:space="preserve">£496    </w:t>
            </w:r>
            <w:r w:rsidRPr="001F3A6E">
              <w:rPr>
                <w:rFonts w:asciiTheme="minorHAnsi" w:hAnsiTheme="minorHAnsi" w:cstheme="minorHAnsi"/>
                <w:b/>
                <w:bCs/>
                <w:i/>
                <w:iCs/>
                <w:color w:val="000000"/>
                <w:lang w:eastAsia="en-GB"/>
              </w:rPr>
              <w:t>(37/62)</w:t>
            </w:r>
          </w:p>
        </w:tc>
      </w:tr>
      <w:tr w:rsidR="00ED58FC" w:rsidRPr="001F3A6E" w:rsidTr="00A41F5D">
        <w:trPr>
          <w:trHeight w:val="300"/>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8</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Blackpool</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19%</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63%    </w:t>
            </w:r>
            <w:r w:rsidRPr="001F3A6E">
              <w:rPr>
                <w:rFonts w:asciiTheme="minorHAnsi" w:hAnsiTheme="minorHAnsi" w:cstheme="minorHAnsi"/>
                <w:i/>
                <w:iCs/>
                <w:color w:val="000000"/>
                <w:lang w:eastAsia="en-GB"/>
              </w:rPr>
              <w:t>(14/62)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£500    </w:t>
            </w:r>
            <w:r w:rsidRPr="001F3A6E">
              <w:rPr>
                <w:rFonts w:asciiTheme="minorHAnsi" w:hAnsiTheme="minorHAnsi" w:cstheme="minorHAnsi"/>
                <w:i/>
                <w:iCs/>
                <w:color w:val="000000"/>
                <w:lang w:eastAsia="en-GB"/>
              </w:rPr>
              <w:t>(33/62)</w:t>
            </w:r>
          </w:p>
        </w:tc>
      </w:tr>
      <w:tr w:rsidR="00ED58FC" w:rsidRPr="001F3A6E" w:rsidTr="00A41F5D">
        <w:trPr>
          <w:trHeight w:val="300"/>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9</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York</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19%</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42%    </w:t>
            </w:r>
            <w:r w:rsidRPr="001F3A6E">
              <w:rPr>
                <w:rFonts w:asciiTheme="minorHAnsi" w:hAnsiTheme="minorHAnsi" w:cstheme="minorHAnsi"/>
                <w:i/>
                <w:iCs/>
                <w:color w:val="000000"/>
                <w:lang w:eastAsia="en-GB"/>
              </w:rPr>
              <w:t>(54/62)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£501    </w:t>
            </w:r>
            <w:r w:rsidRPr="001F3A6E">
              <w:rPr>
                <w:rFonts w:asciiTheme="minorHAnsi" w:hAnsiTheme="minorHAnsi" w:cstheme="minorHAnsi"/>
                <w:i/>
                <w:iCs/>
                <w:color w:val="000000"/>
                <w:lang w:eastAsia="en-GB"/>
              </w:rPr>
              <w:t>(32/62)</w:t>
            </w:r>
          </w:p>
        </w:tc>
      </w:tr>
      <w:tr w:rsidR="00ED58FC" w:rsidRPr="001F3A6E" w:rsidTr="00A41F5D">
        <w:trPr>
          <w:trHeight w:val="300"/>
        </w:trPr>
        <w:tc>
          <w:tcPr>
            <w:tcW w:w="67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10</w:t>
            </w:r>
          </w:p>
        </w:tc>
        <w:tc>
          <w:tcPr>
            <w:tcW w:w="18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Portsmouth</w:t>
            </w:r>
          </w:p>
        </w:tc>
        <w:tc>
          <w:tcPr>
            <w:tcW w:w="1985"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19%</w:t>
            </w:r>
          </w:p>
        </w:tc>
        <w:tc>
          <w:tcPr>
            <w:tcW w:w="2693" w:type="dxa"/>
            <w:tcBorders>
              <w:top w:val="nil"/>
              <w:left w:val="nil"/>
              <w:bottom w:val="single" w:sz="8" w:space="0" w:color="A0CE67"/>
              <w:right w:val="single" w:sz="8" w:space="0" w:color="A0CE67"/>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59%    </w:t>
            </w:r>
            <w:r w:rsidRPr="001F3A6E">
              <w:rPr>
                <w:rFonts w:asciiTheme="minorHAnsi" w:hAnsiTheme="minorHAnsi" w:cstheme="minorHAnsi"/>
                <w:i/>
                <w:iCs/>
                <w:color w:val="000000"/>
                <w:lang w:eastAsia="en-GB"/>
              </w:rPr>
              <w:t>(18/62)</w:t>
            </w:r>
          </w:p>
        </w:tc>
        <w:tc>
          <w:tcPr>
            <w:tcW w:w="2835" w:type="dxa"/>
            <w:tcBorders>
              <w:top w:val="nil"/>
              <w:left w:val="nil"/>
              <w:bottom w:val="single" w:sz="8" w:space="0" w:color="A0CE67"/>
              <w:right w:val="nil"/>
            </w:tcBorders>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 xml:space="preserve">£520    </w:t>
            </w:r>
            <w:r w:rsidRPr="001F3A6E">
              <w:rPr>
                <w:rFonts w:asciiTheme="minorHAnsi" w:hAnsiTheme="minorHAnsi" w:cstheme="minorHAnsi"/>
                <w:i/>
                <w:iCs/>
                <w:color w:val="000000"/>
                <w:lang w:eastAsia="en-GB"/>
              </w:rPr>
              <w:t>(21/62)</w:t>
            </w:r>
          </w:p>
        </w:tc>
      </w:tr>
      <w:tr w:rsidR="00ED58FC" w:rsidRPr="001F3A6E" w:rsidTr="00A41F5D">
        <w:trPr>
          <w:trHeight w:val="300"/>
        </w:trPr>
        <w:tc>
          <w:tcPr>
            <w:tcW w:w="673" w:type="dxa"/>
            <w:tcBorders>
              <w:top w:val="nil"/>
              <w:left w:val="nil"/>
              <w:bottom w:val="single" w:sz="8" w:space="0" w:color="A0CE67"/>
              <w:right w:val="single" w:sz="8" w:space="0" w:color="A0CE67"/>
            </w:tcBorders>
            <w:shd w:val="clear" w:color="auto" w:fill="CEE6B0"/>
            <w:noWrap/>
            <w:tcMar>
              <w:top w:w="0" w:type="dxa"/>
              <w:left w:w="108" w:type="dxa"/>
              <w:bottom w:w="0" w:type="dxa"/>
              <w:right w:w="108" w:type="dxa"/>
            </w:tcMar>
            <w:vAlign w:val="bottom"/>
            <w:hideMark/>
          </w:tcPr>
          <w:p w:rsidR="00ED58FC" w:rsidRPr="001F3A6E" w:rsidRDefault="00ED58FC" w:rsidP="00CA65DC">
            <w:pPr>
              <w:rPr>
                <w:rFonts w:asciiTheme="minorHAnsi" w:hAnsiTheme="minorHAnsi" w:cstheme="minorHAnsi"/>
                <w:color w:val="000000"/>
                <w:lang w:eastAsia="en-GB"/>
              </w:rPr>
            </w:pPr>
            <w:r w:rsidRPr="001F3A6E">
              <w:rPr>
                <w:rFonts w:asciiTheme="minorHAnsi" w:hAnsiTheme="minorHAnsi" w:cstheme="minorHAnsi"/>
                <w:color w:val="000000"/>
                <w:lang w:eastAsia="en-GB"/>
              </w:rPr>
              <w:t> </w:t>
            </w:r>
          </w:p>
        </w:tc>
        <w:tc>
          <w:tcPr>
            <w:tcW w:w="1893" w:type="dxa"/>
            <w:tcBorders>
              <w:top w:val="nil"/>
              <w:left w:val="nil"/>
              <w:bottom w:val="single" w:sz="8" w:space="0" w:color="A0CE67"/>
              <w:right w:val="single" w:sz="8" w:space="0" w:color="A0CE67"/>
            </w:tcBorders>
            <w:shd w:val="clear" w:color="auto" w:fill="CEE6B0"/>
            <w:tcMar>
              <w:top w:w="0" w:type="dxa"/>
              <w:left w:w="108" w:type="dxa"/>
              <w:bottom w:w="0" w:type="dxa"/>
              <w:right w:w="108" w:type="dxa"/>
            </w:tcMar>
            <w:vAlign w:val="center"/>
            <w:hideMark/>
          </w:tcPr>
          <w:p w:rsidR="00ED58FC" w:rsidRPr="001F3A6E" w:rsidRDefault="00ED58FC" w:rsidP="00CA65DC">
            <w:pPr>
              <w:rPr>
                <w:rFonts w:asciiTheme="minorHAnsi" w:hAnsiTheme="minorHAnsi" w:cstheme="minorHAnsi"/>
                <w:b/>
                <w:bCs/>
                <w:color w:val="000000"/>
                <w:lang w:eastAsia="en-GB"/>
              </w:rPr>
            </w:pPr>
            <w:r w:rsidRPr="001F3A6E">
              <w:rPr>
                <w:rFonts w:asciiTheme="minorHAnsi" w:hAnsiTheme="minorHAnsi" w:cstheme="minorHAnsi"/>
                <w:b/>
                <w:bCs/>
                <w:color w:val="000000"/>
                <w:lang w:eastAsia="en-GB"/>
              </w:rPr>
              <w:t>Great Britain average</w:t>
            </w:r>
          </w:p>
        </w:tc>
        <w:tc>
          <w:tcPr>
            <w:tcW w:w="1985" w:type="dxa"/>
            <w:tcBorders>
              <w:top w:val="nil"/>
              <w:left w:val="nil"/>
              <w:bottom w:val="single" w:sz="8" w:space="0" w:color="A0CE67"/>
              <w:right w:val="single" w:sz="8" w:space="0" w:color="A0CE67"/>
            </w:tcBorders>
            <w:shd w:val="clear" w:color="auto" w:fill="CEE6B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21%</w:t>
            </w:r>
          </w:p>
        </w:tc>
        <w:tc>
          <w:tcPr>
            <w:tcW w:w="2693" w:type="dxa"/>
            <w:tcBorders>
              <w:top w:val="nil"/>
              <w:left w:val="nil"/>
              <w:bottom w:val="single" w:sz="8" w:space="0" w:color="A0CE67"/>
              <w:right w:val="single" w:sz="8" w:space="0" w:color="A0CE67"/>
            </w:tcBorders>
            <w:shd w:val="clear" w:color="auto" w:fill="CEE6B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52%</w:t>
            </w:r>
          </w:p>
        </w:tc>
        <w:tc>
          <w:tcPr>
            <w:tcW w:w="2835" w:type="dxa"/>
            <w:tcBorders>
              <w:top w:val="nil"/>
              <w:left w:val="nil"/>
              <w:bottom w:val="single" w:sz="8" w:space="0" w:color="A0CE67"/>
              <w:right w:val="nil"/>
            </w:tcBorders>
            <w:shd w:val="clear" w:color="auto" w:fill="CEE6B0"/>
            <w:tcMar>
              <w:top w:w="0" w:type="dxa"/>
              <w:left w:w="108" w:type="dxa"/>
              <w:bottom w:w="0" w:type="dxa"/>
              <w:right w:w="108" w:type="dxa"/>
            </w:tcMar>
            <w:vAlign w:val="center"/>
            <w:hideMark/>
          </w:tcPr>
          <w:p w:rsidR="00ED58FC" w:rsidRPr="001F3A6E" w:rsidRDefault="00ED58FC" w:rsidP="00CA65DC">
            <w:pPr>
              <w:jc w:val="right"/>
              <w:rPr>
                <w:rFonts w:asciiTheme="minorHAnsi" w:hAnsiTheme="minorHAnsi" w:cstheme="minorHAnsi"/>
                <w:color w:val="000000"/>
                <w:lang w:eastAsia="en-GB"/>
              </w:rPr>
            </w:pPr>
            <w:r w:rsidRPr="001F3A6E">
              <w:rPr>
                <w:rFonts w:asciiTheme="minorHAnsi" w:hAnsiTheme="minorHAnsi" w:cstheme="minorHAnsi"/>
                <w:color w:val="000000"/>
                <w:lang w:eastAsia="en-GB"/>
              </w:rPr>
              <w:t>£539</w:t>
            </w:r>
          </w:p>
        </w:tc>
      </w:tr>
    </w:tbl>
    <w:p w:rsidR="00ED58FC" w:rsidRPr="001F3A6E" w:rsidRDefault="00ED58FC" w:rsidP="00CA65DC">
      <w:pPr>
        <w:autoSpaceDE w:val="0"/>
        <w:autoSpaceDN w:val="0"/>
        <w:adjustRightInd w:val="0"/>
        <w:rPr>
          <w:rFonts w:asciiTheme="minorHAnsi" w:hAnsiTheme="minorHAnsi" w:cstheme="minorHAnsi"/>
          <w:b/>
          <w:bCs/>
          <w:color w:val="008A53"/>
        </w:rPr>
      </w:pPr>
    </w:p>
    <w:p w:rsidR="00747177" w:rsidRPr="001F3A6E" w:rsidRDefault="00747177" w:rsidP="00CA65DC">
      <w:pPr>
        <w:spacing w:after="200"/>
        <w:rPr>
          <w:rFonts w:asciiTheme="minorHAnsi" w:hAnsiTheme="minorHAnsi" w:cstheme="minorHAnsi"/>
        </w:rPr>
      </w:pPr>
      <w:r w:rsidRPr="001F3A6E">
        <w:rPr>
          <w:rFonts w:asciiTheme="minorHAnsi" w:hAnsiTheme="minorHAnsi" w:cstheme="minorHAnsi"/>
          <w:bCs/>
          <w:iCs/>
        </w:rPr>
        <w:t>The report</w:t>
      </w:r>
      <w:r w:rsidRPr="001F3A6E">
        <w:rPr>
          <w:rFonts w:asciiTheme="minorHAnsi" w:hAnsiTheme="minorHAnsi" w:cstheme="minorHAnsi"/>
        </w:rPr>
        <w:t xml:space="preserve"> examines potential jobs growth in British</w:t>
      </w:r>
      <w:r w:rsidR="001F3A6E" w:rsidRPr="001F3A6E">
        <w:rPr>
          <w:rFonts w:asciiTheme="minorHAnsi" w:hAnsiTheme="minorHAnsi" w:cstheme="minorHAnsi"/>
        </w:rPr>
        <w:t xml:space="preserve"> cities which could result from </w:t>
      </w:r>
      <w:r w:rsidRPr="001F3A6E">
        <w:rPr>
          <w:rFonts w:asciiTheme="minorHAnsi" w:hAnsiTheme="minorHAnsi" w:cstheme="minorHAnsi"/>
        </w:rPr>
        <w:t>automation and globalisation over the coming decades:</w:t>
      </w:r>
    </w:p>
    <w:p w:rsidR="00747177" w:rsidRPr="001F3A6E" w:rsidRDefault="00747177" w:rsidP="00CA65DC">
      <w:pPr>
        <w:pStyle w:val="ListParagraph"/>
        <w:numPr>
          <w:ilvl w:val="0"/>
          <w:numId w:val="2"/>
        </w:numPr>
        <w:spacing w:after="200"/>
        <w:rPr>
          <w:rFonts w:asciiTheme="minorHAnsi" w:hAnsiTheme="minorHAnsi" w:cstheme="minorHAnsi"/>
          <w:bCs/>
        </w:rPr>
      </w:pPr>
      <w:r w:rsidRPr="001F3A6E">
        <w:rPr>
          <w:rFonts w:asciiTheme="minorHAnsi" w:hAnsiTheme="minorHAnsi" w:cstheme="minorHAnsi"/>
        </w:rPr>
        <w:t>N</w:t>
      </w:r>
      <w:r w:rsidRPr="001F3A6E">
        <w:rPr>
          <w:rFonts w:asciiTheme="minorHAnsi" w:hAnsiTheme="minorHAnsi" w:cstheme="minorHAnsi"/>
          <w:bCs/>
        </w:rPr>
        <w:t xml:space="preserve">early 1 in 10 jobs in all British cities are in occupations predicted to grow by 2030. </w:t>
      </w:r>
      <w:r w:rsidRPr="001F3A6E">
        <w:rPr>
          <w:rFonts w:asciiTheme="minorHAnsi" w:hAnsiTheme="minorHAnsi" w:cstheme="minorHAnsi"/>
        </w:rPr>
        <w:t xml:space="preserve">Between 5-10% of jobs in most British cities today are in occupations predicted to grow in future </w:t>
      </w:r>
    </w:p>
    <w:p w:rsidR="00747177" w:rsidRPr="001F3A6E" w:rsidRDefault="00747177" w:rsidP="00CA65DC">
      <w:pPr>
        <w:pStyle w:val="ListParagraph"/>
        <w:numPr>
          <w:ilvl w:val="0"/>
          <w:numId w:val="2"/>
        </w:numPr>
        <w:spacing w:after="200"/>
        <w:rPr>
          <w:rFonts w:asciiTheme="minorHAnsi" w:hAnsiTheme="minorHAnsi" w:cstheme="minorHAnsi"/>
          <w:bCs/>
        </w:rPr>
      </w:pPr>
      <w:r w:rsidRPr="001F3A6E">
        <w:rPr>
          <w:rFonts w:asciiTheme="minorHAnsi" w:hAnsiTheme="minorHAnsi" w:cstheme="minorHAnsi"/>
          <w:bCs/>
        </w:rPr>
        <w:t xml:space="preserve">In Brighton, however, the share of jobs likely to grow is higher: around 11% of existing jobs are in occupations predicted to increase </w:t>
      </w:r>
      <w:r w:rsidRPr="001F3A6E">
        <w:rPr>
          <w:rFonts w:asciiTheme="minorHAnsi" w:hAnsiTheme="minorHAnsi" w:cstheme="minorHAnsi"/>
        </w:rPr>
        <w:t>– the third highest share of any British city.</w:t>
      </w:r>
    </w:p>
    <w:p w:rsidR="00315666" w:rsidRPr="00A41F5D" w:rsidRDefault="00747177" w:rsidP="00CA65DC">
      <w:pPr>
        <w:pStyle w:val="ListParagraph"/>
        <w:numPr>
          <w:ilvl w:val="0"/>
          <w:numId w:val="2"/>
        </w:numPr>
        <w:spacing w:after="200"/>
        <w:rPr>
          <w:rFonts w:asciiTheme="minorHAnsi" w:hAnsiTheme="minorHAnsi" w:cstheme="minorHAnsi"/>
          <w:bCs/>
        </w:rPr>
      </w:pPr>
      <w:r w:rsidRPr="001F3A6E">
        <w:rPr>
          <w:rFonts w:asciiTheme="minorHAnsi" w:hAnsiTheme="minorHAnsi" w:cstheme="minorHAnsi"/>
          <w:bCs/>
        </w:rPr>
        <w:t xml:space="preserve">However, Brighton is likely to see more growth in low skilled jobs than high skilled roles – </w:t>
      </w:r>
      <w:r w:rsidRPr="001F3A6E">
        <w:rPr>
          <w:rFonts w:asciiTheme="minorHAnsi" w:hAnsiTheme="minorHAnsi" w:cstheme="minorHAnsi"/>
        </w:rPr>
        <w:t>with low skilled private sector roles accounting for 30% of the jobs expected to increase, more than the number of high skilled private sector jobs likely to grow (27</w:t>
      </w:r>
      <w:r w:rsidRPr="006F40BA">
        <w:rPr>
          <w:rFonts w:asciiTheme="minorHAnsi" w:hAnsiTheme="minorHAnsi" w:cstheme="minorHAnsi"/>
        </w:rPr>
        <w:t>%).</w:t>
      </w:r>
      <w:r w:rsidR="00A41F5D">
        <w:rPr>
          <w:rFonts w:asciiTheme="minorHAnsi" w:hAnsiTheme="minorHAnsi" w:cstheme="minorHAnsi"/>
        </w:rPr>
        <w:t xml:space="preserve"> </w:t>
      </w:r>
    </w:p>
    <w:p w:rsidR="00185485" w:rsidRPr="00A41F5D" w:rsidRDefault="001F3A6E" w:rsidP="00CA65DC">
      <w:pPr>
        <w:autoSpaceDE w:val="0"/>
        <w:autoSpaceDN w:val="0"/>
        <w:adjustRightInd w:val="0"/>
        <w:rPr>
          <w:rFonts w:asciiTheme="minorHAnsi" w:hAnsiTheme="minorHAnsi" w:cstheme="minorHAnsi"/>
          <w:b/>
          <w:sz w:val="24"/>
          <w:szCs w:val="24"/>
        </w:rPr>
      </w:pPr>
      <w:r w:rsidRPr="00A41F5D">
        <w:rPr>
          <w:rFonts w:asciiTheme="minorHAnsi" w:hAnsiTheme="minorHAnsi" w:cstheme="minorHAnsi"/>
          <w:b/>
          <w:sz w:val="24"/>
          <w:szCs w:val="24"/>
        </w:rPr>
        <w:t>CITY MONITOR – LATEST DATA</w:t>
      </w:r>
    </w:p>
    <w:p w:rsidR="00B217C7" w:rsidRPr="001F3A6E" w:rsidRDefault="00B217C7" w:rsidP="00CA65DC">
      <w:pPr>
        <w:autoSpaceDE w:val="0"/>
        <w:autoSpaceDN w:val="0"/>
        <w:adjustRightInd w:val="0"/>
        <w:rPr>
          <w:rFonts w:asciiTheme="minorHAnsi" w:hAnsiTheme="minorHAnsi" w:cstheme="minorHAnsi"/>
        </w:rPr>
      </w:pPr>
    </w:p>
    <w:p w:rsidR="00747177" w:rsidRPr="001F3A6E" w:rsidRDefault="003704B4" w:rsidP="00CA65DC">
      <w:pPr>
        <w:autoSpaceDE w:val="0"/>
        <w:autoSpaceDN w:val="0"/>
        <w:adjustRightInd w:val="0"/>
        <w:rPr>
          <w:rFonts w:asciiTheme="minorHAnsi" w:hAnsiTheme="minorHAnsi" w:cstheme="minorHAnsi"/>
        </w:rPr>
      </w:pPr>
      <w:r w:rsidRPr="001F3A6E">
        <w:rPr>
          <w:rFonts w:asciiTheme="minorHAnsi" w:hAnsiTheme="minorHAnsi" w:cstheme="minorHAnsi"/>
        </w:rPr>
        <w:t>The report</w:t>
      </w:r>
      <w:r w:rsidR="00185485" w:rsidRPr="001F3A6E">
        <w:rPr>
          <w:rFonts w:asciiTheme="minorHAnsi" w:hAnsiTheme="minorHAnsi" w:cstheme="minorHAnsi"/>
        </w:rPr>
        <w:t xml:space="preserve"> highlights the performance of Brighton &amp; Hove across 18 economic indicators compared with 62 largest cities</w:t>
      </w:r>
      <w:r w:rsidR="0031714F" w:rsidRPr="001F3A6E">
        <w:rPr>
          <w:rFonts w:asciiTheme="minorHAnsi" w:hAnsiTheme="minorHAnsi" w:cstheme="minorHAnsi"/>
        </w:rPr>
        <w:t xml:space="preserve"> </w:t>
      </w:r>
      <w:r w:rsidR="00185485" w:rsidRPr="001F3A6E">
        <w:rPr>
          <w:rFonts w:asciiTheme="minorHAnsi" w:hAnsiTheme="minorHAnsi" w:cstheme="minorHAnsi"/>
        </w:rPr>
        <w:t xml:space="preserve">in the UK.  The key findings are </w:t>
      </w:r>
      <w:r w:rsidRPr="001F3A6E">
        <w:rPr>
          <w:rFonts w:asciiTheme="minorHAnsi" w:hAnsiTheme="minorHAnsi" w:cstheme="minorHAnsi"/>
        </w:rPr>
        <w:t>below.</w:t>
      </w:r>
    </w:p>
    <w:p w:rsidR="00526B49" w:rsidRPr="001F3A6E" w:rsidRDefault="00526B49" w:rsidP="00CA65DC">
      <w:pPr>
        <w:autoSpaceDE w:val="0"/>
        <w:autoSpaceDN w:val="0"/>
        <w:adjustRightInd w:val="0"/>
        <w:rPr>
          <w:rFonts w:asciiTheme="minorHAnsi" w:hAnsiTheme="minorHAnsi" w:cstheme="minorHAnsi"/>
        </w:rPr>
      </w:pPr>
    </w:p>
    <w:p w:rsidR="003704B4" w:rsidRPr="001F3A6E" w:rsidRDefault="003704B4" w:rsidP="00CA65DC">
      <w:pPr>
        <w:autoSpaceDE w:val="0"/>
        <w:autoSpaceDN w:val="0"/>
        <w:adjustRightInd w:val="0"/>
        <w:rPr>
          <w:rFonts w:asciiTheme="minorHAnsi" w:hAnsiTheme="minorHAnsi" w:cstheme="minorHAnsi"/>
          <w:b/>
          <w:bCs/>
        </w:rPr>
      </w:pPr>
      <w:r w:rsidRPr="001F3A6E">
        <w:rPr>
          <w:rFonts w:asciiTheme="minorHAnsi" w:hAnsiTheme="minorHAnsi" w:cstheme="minorHAnsi"/>
          <w:b/>
          <w:bCs/>
        </w:rPr>
        <w:t>Business &amp; innovation</w:t>
      </w:r>
    </w:p>
    <w:p w:rsidR="003704B4" w:rsidRPr="001F3A6E" w:rsidRDefault="003704B4" w:rsidP="00CA65DC">
      <w:pPr>
        <w:autoSpaceDE w:val="0"/>
        <w:autoSpaceDN w:val="0"/>
        <w:adjustRightInd w:val="0"/>
        <w:rPr>
          <w:rFonts w:asciiTheme="minorHAnsi" w:hAnsiTheme="minorHAnsi" w:cstheme="minorHAnsi"/>
        </w:rPr>
      </w:pPr>
    </w:p>
    <w:p w:rsidR="0064476A" w:rsidRPr="001F3A6E" w:rsidRDefault="0064476A" w:rsidP="00CA65DC">
      <w:pPr>
        <w:autoSpaceDE w:val="0"/>
        <w:autoSpaceDN w:val="0"/>
        <w:adjustRightInd w:val="0"/>
        <w:rPr>
          <w:rFonts w:asciiTheme="minorHAnsi" w:hAnsiTheme="minorHAnsi" w:cstheme="minorHAnsi"/>
          <w:bCs/>
        </w:rPr>
      </w:pPr>
      <w:r w:rsidRPr="001F3A6E">
        <w:rPr>
          <w:rFonts w:asciiTheme="minorHAnsi" w:hAnsiTheme="minorHAnsi" w:cstheme="minorHAnsi"/>
          <w:bCs/>
        </w:rPr>
        <w:t xml:space="preserve">The City does well in terms of business start-up rates ranking </w:t>
      </w:r>
      <w:r w:rsidR="00B217C7" w:rsidRPr="001F3A6E">
        <w:rPr>
          <w:rFonts w:asciiTheme="minorHAnsi" w:hAnsiTheme="minorHAnsi" w:cstheme="minorHAnsi"/>
          <w:bCs/>
        </w:rPr>
        <w:t>8</w:t>
      </w:r>
      <w:r w:rsidR="00B217C7" w:rsidRPr="001F3A6E">
        <w:rPr>
          <w:rFonts w:asciiTheme="minorHAnsi" w:hAnsiTheme="minorHAnsi" w:cstheme="minorHAnsi"/>
          <w:bCs/>
          <w:vertAlign w:val="superscript"/>
        </w:rPr>
        <w:t>th</w:t>
      </w:r>
      <w:r w:rsidR="00B217C7" w:rsidRPr="001F3A6E">
        <w:rPr>
          <w:rFonts w:asciiTheme="minorHAnsi" w:hAnsiTheme="minorHAnsi" w:cstheme="minorHAnsi"/>
          <w:bCs/>
        </w:rPr>
        <w:t xml:space="preserve"> (69.3 busines</w:t>
      </w:r>
      <w:r w:rsidRPr="001F3A6E">
        <w:rPr>
          <w:rFonts w:asciiTheme="minorHAnsi" w:hAnsiTheme="minorHAnsi" w:cstheme="minorHAnsi"/>
          <w:bCs/>
        </w:rPr>
        <w:t xml:space="preserve">s start-ups per 10,000 population) but sits marginally behind other cities such as Southampton (70.3), Reading (73.5) and Milton Keynes (80.7).   London ranked top with 112.3 business start-ups per 10,000 </w:t>
      </w:r>
      <w:proofErr w:type="gramStart"/>
      <w:r w:rsidRPr="001F3A6E">
        <w:rPr>
          <w:rFonts w:asciiTheme="minorHAnsi" w:hAnsiTheme="minorHAnsi" w:cstheme="minorHAnsi"/>
          <w:bCs/>
        </w:rPr>
        <w:t>population</w:t>
      </w:r>
      <w:proofErr w:type="gramEnd"/>
      <w:r w:rsidR="005D639C" w:rsidRPr="001F3A6E">
        <w:rPr>
          <w:rFonts w:asciiTheme="minorHAnsi" w:hAnsiTheme="minorHAnsi" w:cstheme="minorHAnsi"/>
          <w:bCs/>
        </w:rPr>
        <w:t>.</w:t>
      </w:r>
    </w:p>
    <w:p w:rsidR="005D639C" w:rsidRPr="001F3A6E" w:rsidRDefault="005D639C" w:rsidP="00CA65DC">
      <w:pPr>
        <w:autoSpaceDE w:val="0"/>
        <w:autoSpaceDN w:val="0"/>
        <w:adjustRightInd w:val="0"/>
        <w:rPr>
          <w:rFonts w:asciiTheme="minorHAnsi" w:hAnsiTheme="minorHAnsi" w:cstheme="minorHAnsi"/>
          <w:bCs/>
        </w:rPr>
      </w:pPr>
    </w:p>
    <w:p w:rsidR="0031714F" w:rsidRPr="001F3A6E" w:rsidRDefault="00AA4A08" w:rsidP="00CA65DC">
      <w:pPr>
        <w:autoSpaceDE w:val="0"/>
        <w:autoSpaceDN w:val="0"/>
        <w:adjustRightInd w:val="0"/>
        <w:rPr>
          <w:rFonts w:asciiTheme="minorHAnsi" w:hAnsiTheme="minorHAnsi" w:cstheme="minorHAnsi"/>
        </w:rPr>
      </w:pPr>
      <w:r w:rsidRPr="001F3A6E">
        <w:rPr>
          <w:rFonts w:asciiTheme="minorHAnsi" w:hAnsiTheme="minorHAnsi" w:cstheme="minorHAnsi"/>
        </w:rPr>
        <w:t xml:space="preserve">Among the 10 cities with the highest start-up rate, </w:t>
      </w:r>
      <w:r w:rsidR="0031714F" w:rsidRPr="001F3A6E">
        <w:rPr>
          <w:rFonts w:asciiTheme="minorHAnsi" w:hAnsiTheme="minorHAnsi" w:cstheme="minorHAnsi"/>
        </w:rPr>
        <w:t>Brighton &amp; Hove has the lowest churn rate</w:t>
      </w:r>
      <w:r w:rsidR="00526B49" w:rsidRPr="001F3A6E">
        <w:rPr>
          <w:rStyle w:val="FootnoteReference"/>
          <w:rFonts w:asciiTheme="minorHAnsi" w:hAnsiTheme="minorHAnsi" w:cstheme="minorHAnsi"/>
        </w:rPr>
        <w:footnoteReference w:id="2"/>
      </w:r>
      <w:r w:rsidR="0031714F" w:rsidRPr="001F3A6E">
        <w:rPr>
          <w:rFonts w:asciiTheme="minorHAnsi" w:hAnsiTheme="minorHAnsi" w:cstheme="minorHAnsi"/>
        </w:rPr>
        <w:t xml:space="preserve"> (2.2), followed closely by Northampton (2.5) and Reading (2.7).</w:t>
      </w:r>
      <w:r w:rsidR="00526B49" w:rsidRPr="001F3A6E">
        <w:rPr>
          <w:rFonts w:asciiTheme="minorHAnsi" w:hAnsiTheme="minorHAnsi" w:cstheme="minorHAnsi"/>
        </w:rPr>
        <w:t xml:space="preserve"> UK average churn rate is 4.2.</w:t>
      </w:r>
    </w:p>
    <w:p w:rsidR="005D639C" w:rsidRPr="001F3A6E" w:rsidRDefault="005D639C" w:rsidP="00CA65DC">
      <w:pPr>
        <w:autoSpaceDE w:val="0"/>
        <w:autoSpaceDN w:val="0"/>
        <w:adjustRightInd w:val="0"/>
        <w:rPr>
          <w:rFonts w:asciiTheme="minorHAnsi" w:hAnsiTheme="minorHAnsi" w:cstheme="minorHAnsi"/>
          <w:bCs/>
        </w:rPr>
      </w:pPr>
    </w:p>
    <w:p w:rsidR="00AA4A08" w:rsidRPr="001F3A6E" w:rsidRDefault="00AA4A08" w:rsidP="00CA65DC">
      <w:pPr>
        <w:autoSpaceDE w:val="0"/>
        <w:autoSpaceDN w:val="0"/>
        <w:adjustRightInd w:val="0"/>
        <w:rPr>
          <w:rFonts w:asciiTheme="minorHAnsi" w:hAnsiTheme="minorHAnsi" w:cstheme="minorHAnsi"/>
        </w:rPr>
      </w:pPr>
      <w:r w:rsidRPr="001F3A6E">
        <w:rPr>
          <w:rFonts w:asciiTheme="minorHAnsi" w:hAnsiTheme="minorHAnsi" w:cstheme="minorHAnsi"/>
        </w:rPr>
        <w:t xml:space="preserve">London ranked first for business stock per capita, with 566 businesses per 10,000 </w:t>
      </w:r>
      <w:proofErr w:type="gramStart"/>
      <w:r w:rsidRPr="001F3A6E">
        <w:rPr>
          <w:rFonts w:asciiTheme="minorHAnsi" w:hAnsiTheme="minorHAnsi" w:cstheme="minorHAnsi"/>
        </w:rPr>
        <w:t>population</w:t>
      </w:r>
      <w:proofErr w:type="gramEnd"/>
      <w:r w:rsidRPr="001F3A6E">
        <w:rPr>
          <w:rFonts w:asciiTheme="minorHAnsi" w:hAnsiTheme="minorHAnsi" w:cstheme="minorHAnsi"/>
        </w:rPr>
        <w:t>, followed by Reading (474), Milton Keynes (463) and Brighton (453).</w:t>
      </w:r>
    </w:p>
    <w:p w:rsidR="005D639C" w:rsidRPr="001F3A6E" w:rsidRDefault="005D639C" w:rsidP="00CA65DC">
      <w:pPr>
        <w:autoSpaceDE w:val="0"/>
        <w:autoSpaceDN w:val="0"/>
        <w:adjustRightInd w:val="0"/>
        <w:rPr>
          <w:rFonts w:asciiTheme="minorHAnsi" w:hAnsiTheme="minorHAnsi" w:cstheme="minorHAnsi"/>
          <w:bCs/>
        </w:rPr>
      </w:pPr>
    </w:p>
    <w:p w:rsidR="00AA4A08" w:rsidRPr="001F3A6E" w:rsidRDefault="00CE1B0B" w:rsidP="00CA65DC">
      <w:pPr>
        <w:autoSpaceDE w:val="0"/>
        <w:autoSpaceDN w:val="0"/>
        <w:adjustRightInd w:val="0"/>
        <w:rPr>
          <w:rFonts w:asciiTheme="minorHAnsi" w:hAnsiTheme="minorHAnsi" w:cstheme="minorHAnsi"/>
          <w:bCs/>
        </w:rPr>
      </w:pPr>
      <w:r w:rsidRPr="001F3A6E">
        <w:rPr>
          <w:rFonts w:asciiTheme="minorHAnsi" w:hAnsiTheme="minorHAnsi" w:cstheme="minorHAnsi"/>
          <w:bCs/>
        </w:rPr>
        <w:t xml:space="preserve">The UK average percentage change of business stock per 10,000 </w:t>
      </w:r>
      <w:proofErr w:type="gramStart"/>
      <w:r w:rsidRPr="001F3A6E">
        <w:rPr>
          <w:rFonts w:asciiTheme="minorHAnsi" w:hAnsiTheme="minorHAnsi" w:cstheme="minorHAnsi"/>
          <w:bCs/>
        </w:rPr>
        <w:t>population</w:t>
      </w:r>
      <w:proofErr w:type="gramEnd"/>
      <w:r w:rsidRPr="001F3A6E">
        <w:rPr>
          <w:rFonts w:asciiTheme="minorHAnsi" w:hAnsiTheme="minorHAnsi" w:cstheme="minorHAnsi"/>
          <w:bCs/>
        </w:rPr>
        <w:t xml:space="preserve"> between 2015 and 2016 is 4.0%.  In comparison, Brighton &amp; Hove is below the UK average at 2.9%.</w:t>
      </w:r>
      <w:r w:rsidR="00AA4A08" w:rsidRPr="001F3A6E">
        <w:rPr>
          <w:rFonts w:asciiTheme="minorHAnsi" w:hAnsiTheme="minorHAnsi" w:cstheme="minorHAnsi"/>
          <w:bCs/>
        </w:rPr>
        <w:t xml:space="preserve"> </w:t>
      </w:r>
      <w:r w:rsidRPr="001F3A6E">
        <w:rPr>
          <w:rFonts w:asciiTheme="minorHAnsi" w:hAnsiTheme="minorHAnsi" w:cstheme="minorHAnsi"/>
          <w:bCs/>
        </w:rPr>
        <w:t>In comparison, London is 4.1%, Reading is 3.6% and Milton Keynes is 4.8%.</w:t>
      </w:r>
    </w:p>
    <w:p w:rsidR="005D639C" w:rsidRPr="001F3A6E" w:rsidRDefault="005D639C" w:rsidP="00CA65DC">
      <w:pPr>
        <w:autoSpaceDE w:val="0"/>
        <w:autoSpaceDN w:val="0"/>
        <w:adjustRightInd w:val="0"/>
        <w:rPr>
          <w:rFonts w:asciiTheme="minorHAnsi" w:hAnsiTheme="minorHAnsi" w:cstheme="minorHAnsi"/>
          <w:bCs/>
        </w:rPr>
      </w:pPr>
    </w:p>
    <w:p w:rsidR="00F3513D" w:rsidRPr="001F3A6E" w:rsidRDefault="00F3513D" w:rsidP="00CA65DC">
      <w:pPr>
        <w:autoSpaceDE w:val="0"/>
        <w:autoSpaceDN w:val="0"/>
        <w:adjustRightInd w:val="0"/>
        <w:rPr>
          <w:rFonts w:asciiTheme="minorHAnsi" w:hAnsiTheme="minorHAnsi" w:cstheme="minorHAnsi"/>
          <w:bCs/>
        </w:rPr>
      </w:pPr>
      <w:r w:rsidRPr="001F3A6E">
        <w:rPr>
          <w:rFonts w:asciiTheme="minorHAnsi" w:hAnsiTheme="minorHAnsi" w:cstheme="minorHAnsi"/>
          <w:bCs/>
        </w:rPr>
        <w:t>Brighton &amp; Hove’s GVA per worker (2016) is below the UK average (£52,700 compared with £56,600).  The three cities with the highest GVA per worker are: Slough (£82,100), London (£77,300) and Reading (£70,800).</w:t>
      </w:r>
    </w:p>
    <w:p w:rsidR="00747177" w:rsidRPr="001F3A6E" w:rsidRDefault="00747177" w:rsidP="00CA65DC">
      <w:pPr>
        <w:autoSpaceDE w:val="0"/>
        <w:autoSpaceDN w:val="0"/>
        <w:adjustRightInd w:val="0"/>
        <w:rPr>
          <w:rFonts w:asciiTheme="minorHAnsi" w:hAnsiTheme="minorHAnsi" w:cstheme="minorHAnsi"/>
          <w:b/>
          <w:bCs/>
          <w:color w:val="008A53"/>
        </w:rPr>
      </w:pPr>
    </w:p>
    <w:p w:rsidR="00526B49" w:rsidRPr="001F3A6E" w:rsidRDefault="00526B49" w:rsidP="00CA65DC">
      <w:pPr>
        <w:autoSpaceDE w:val="0"/>
        <w:autoSpaceDN w:val="0"/>
        <w:adjustRightInd w:val="0"/>
        <w:rPr>
          <w:rFonts w:asciiTheme="minorHAnsi" w:hAnsiTheme="minorHAnsi" w:cstheme="minorHAnsi"/>
          <w:b/>
          <w:bCs/>
        </w:rPr>
      </w:pPr>
      <w:r w:rsidRPr="001F3A6E">
        <w:rPr>
          <w:rFonts w:asciiTheme="minorHAnsi" w:hAnsiTheme="minorHAnsi" w:cstheme="minorHAnsi"/>
          <w:b/>
          <w:bCs/>
        </w:rPr>
        <w:t>Skills &amp; education</w:t>
      </w:r>
    </w:p>
    <w:p w:rsidR="00F84B63" w:rsidRPr="001F3A6E" w:rsidRDefault="00F84B63" w:rsidP="00CA65DC">
      <w:pPr>
        <w:autoSpaceDE w:val="0"/>
        <w:autoSpaceDN w:val="0"/>
        <w:adjustRightInd w:val="0"/>
        <w:rPr>
          <w:rFonts w:asciiTheme="minorHAnsi" w:hAnsiTheme="minorHAnsi" w:cstheme="minorHAnsi"/>
          <w:b/>
          <w:bCs/>
        </w:rPr>
      </w:pPr>
    </w:p>
    <w:p w:rsidR="00063B45" w:rsidRPr="001F3A6E" w:rsidRDefault="00526B49" w:rsidP="00CA65DC">
      <w:pPr>
        <w:spacing w:after="200"/>
        <w:rPr>
          <w:rFonts w:asciiTheme="minorHAnsi" w:hAnsiTheme="minorHAnsi" w:cstheme="minorHAnsi"/>
          <w:bCs/>
        </w:rPr>
      </w:pPr>
      <w:r w:rsidRPr="001F3A6E">
        <w:rPr>
          <w:rFonts w:asciiTheme="minorHAnsi" w:hAnsiTheme="minorHAnsi" w:cstheme="minorHAnsi"/>
          <w:bCs/>
        </w:rPr>
        <w:t>The city ranks 8</w:t>
      </w:r>
      <w:r w:rsidRPr="001F3A6E">
        <w:rPr>
          <w:rFonts w:asciiTheme="minorHAnsi" w:hAnsiTheme="minorHAnsi" w:cstheme="minorHAnsi"/>
          <w:bCs/>
          <w:vertAlign w:val="superscript"/>
        </w:rPr>
        <w:t>th</w:t>
      </w:r>
      <w:r w:rsidRPr="001F3A6E">
        <w:rPr>
          <w:rFonts w:asciiTheme="minorHAnsi" w:hAnsiTheme="minorHAnsi" w:cstheme="minorHAnsi"/>
          <w:bCs/>
        </w:rPr>
        <w:t xml:space="preserve"> among cities with the highest percentage of high qualifications, with 46.5% of the working age population with NVQ4 and above.  The UK average is 38.0%.</w:t>
      </w:r>
    </w:p>
    <w:p w:rsidR="00146AB2" w:rsidRDefault="00063B45" w:rsidP="00CA65DC">
      <w:pPr>
        <w:spacing w:after="200"/>
        <w:rPr>
          <w:rFonts w:asciiTheme="minorHAnsi" w:hAnsiTheme="minorHAnsi" w:cstheme="minorHAnsi"/>
          <w:bCs/>
        </w:rPr>
      </w:pPr>
      <w:r w:rsidRPr="001F3A6E">
        <w:rPr>
          <w:rFonts w:asciiTheme="minorHAnsi" w:hAnsiTheme="minorHAnsi" w:cstheme="minorHAnsi"/>
          <w:bCs/>
        </w:rPr>
        <w:t>Crawley ranked first for the lowest percentage of residents with no formal qualifications (2.0%), followed by Exeter (2.1%) and Brighton &amp; Hove (3.8%).  The UK average is 8.3%.</w:t>
      </w:r>
    </w:p>
    <w:p w:rsidR="00315666" w:rsidRPr="001F3A6E" w:rsidRDefault="00315666" w:rsidP="00CA65DC">
      <w:pPr>
        <w:spacing w:after="200"/>
        <w:rPr>
          <w:rFonts w:asciiTheme="minorHAnsi" w:hAnsiTheme="minorHAnsi" w:cstheme="minorHAnsi"/>
          <w:bCs/>
        </w:rPr>
      </w:pPr>
      <w:r>
        <w:rPr>
          <w:rFonts w:asciiTheme="minorHAnsi" w:hAnsiTheme="minorHAnsi" w:cstheme="minorHAnsi"/>
          <w:bCs/>
        </w:rPr>
        <w:t>In addition, the City has a below average proportion of 50-64 year olds with no formal qualifications (7.8% compared with the UK average of 11.8%).</w:t>
      </w:r>
    </w:p>
    <w:p w:rsidR="00146AB2" w:rsidRPr="001F3A6E" w:rsidRDefault="00146AB2" w:rsidP="00CA65DC">
      <w:pPr>
        <w:autoSpaceDE w:val="0"/>
        <w:autoSpaceDN w:val="0"/>
        <w:adjustRightInd w:val="0"/>
        <w:rPr>
          <w:rFonts w:asciiTheme="minorHAnsi" w:hAnsiTheme="minorHAnsi" w:cstheme="minorHAnsi"/>
          <w:b/>
          <w:bCs/>
        </w:rPr>
      </w:pPr>
      <w:r w:rsidRPr="001F3A6E">
        <w:rPr>
          <w:rFonts w:asciiTheme="minorHAnsi" w:hAnsiTheme="minorHAnsi" w:cstheme="minorHAnsi"/>
          <w:b/>
          <w:bCs/>
        </w:rPr>
        <w:t>Wages &amp; inequality</w:t>
      </w:r>
    </w:p>
    <w:p w:rsidR="005D639C" w:rsidRPr="001F3A6E" w:rsidRDefault="005D639C" w:rsidP="00CA65DC">
      <w:pPr>
        <w:autoSpaceDE w:val="0"/>
        <w:autoSpaceDN w:val="0"/>
        <w:adjustRightInd w:val="0"/>
        <w:rPr>
          <w:rFonts w:asciiTheme="minorHAnsi" w:hAnsiTheme="minorHAnsi" w:cstheme="minorHAnsi"/>
        </w:rPr>
      </w:pPr>
    </w:p>
    <w:p w:rsidR="00146AB2" w:rsidRPr="001F3A6E" w:rsidRDefault="00146AB2" w:rsidP="00CA65DC">
      <w:pPr>
        <w:autoSpaceDE w:val="0"/>
        <w:autoSpaceDN w:val="0"/>
        <w:adjustRightInd w:val="0"/>
        <w:rPr>
          <w:rFonts w:asciiTheme="minorHAnsi" w:hAnsiTheme="minorHAnsi" w:cstheme="minorHAnsi"/>
          <w:color w:val="FF0000"/>
        </w:rPr>
      </w:pPr>
      <w:r w:rsidRPr="001F3A6E">
        <w:rPr>
          <w:rFonts w:asciiTheme="minorHAnsi" w:hAnsiTheme="minorHAnsi" w:cstheme="minorHAnsi"/>
        </w:rPr>
        <w:t>In 2017, the average weekly workplace wage in cities was £577, compared</w:t>
      </w:r>
      <w:r w:rsidR="005D639C" w:rsidRPr="001F3A6E">
        <w:rPr>
          <w:rFonts w:asciiTheme="minorHAnsi" w:hAnsiTheme="minorHAnsi" w:cstheme="minorHAnsi"/>
        </w:rPr>
        <w:t xml:space="preserve"> </w:t>
      </w:r>
      <w:r w:rsidRPr="001F3A6E">
        <w:rPr>
          <w:rFonts w:asciiTheme="minorHAnsi" w:hAnsiTheme="minorHAnsi" w:cstheme="minorHAnsi"/>
        </w:rPr>
        <w:t>to the UK average of £539.</w:t>
      </w:r>
      <w:r w:rsidR="005D639C" w:rsidRPr="001F3A6E">
        <w:rPr>
          <w:rFonts w:asciiTheme="minorHAnsi" w:hAnsiTheme="minorHAnsi" w:cstheme="minorHAnsi"/>
        </w:rPr>
        <w:t xml:space="preserve"> </w:t>
      </w:r>
      <w:r w:rsidR="00195A73" w:rsidRPr="001F3A6E">
        <w:rPr>
          <w:rFonts w:asciiTheme="minorHAnsi" w:hAnsiTheme="minorHAnsi" w:cstheme="minorHAnsi"/>
        </w:rPr>
        <w:t>The average wage in Brighton &amp; Hove is significantly lower at £496 (ranked 37</w:t>
      </w:r>
      <w:r w:rsidR="00195A73" w:rsidRPr="001F3A6E">
        <w:rPr>
          <w:rFonts w:asciiTheme="minorHAnsi" w:hAnsiTheme="minorHAnsi" w:cstheme="minorHAnsi"/>
          <w:vertAlign w:val="superscript"/>
        </w:rPr>
        <w:t>th</w:t>
      </w:r>
      <w:r w:rsidR="00195A73" w:rsidRPr="001F3A6E">
        <w:rPr>
          <w:rFonts w:asciiTheme="minorHAnsi" w:hAnsiTheme="minorHAnsi" w:cstheme="minorHAnsi"/>
        </w:rPr>
        <w:t>).</w:t>
      </w:r>
    </w:p>
    <w:p w:rsidR="005D639C" w:rsidRPr="001F3A6E" w:rsidRDefault="005D639C" w:rsidP="00CA65DC">
      <w:pPr>
        <w:autoSpaceDE w:val="0"/>
        <w:autoSpaceDN w:val="0"/>
        <w:adjustRightInd w:val="0"/>
        <w:rPr>
          <w:rFonts w:asciiTheme="minorHAnsi" w:hAnsiTheme="minorHAnsi" w:cstheme="minorHAnsi"/>
        </w:rPr>
      </w:pPr>
    </w:p>
    <w:p w:rsidR="0080076B" w:rsidRPr="001F3A6E" w:rsidRDefault="00146AB2" w:rsidP="00CA65DC">
      <w:pPr>
        <w:autoSpaceDE w:val="0"/>
        <w:autoSpaceDN w:val="0"/>
        <w:adjustRightInd w:val="0"/>
        <w:rPr>
          <w:rFonts w:asciiTheme="minorHAnsi" w:hAnsiTheme="minorHAnsi" w:cstheme="minorHAnsi"/>
        </w:rPr>
      </w:pPr>
      <w:r w:rsidRPr="001F3A6E">
        <w:rPr>
          <w:rFonts w:asciiTheme="minorHAnsi" w:hAnsiTheme="minorHAnsi" w:cstheme="minorHAnsi"/>
        </w:rPr>
        <w:t>Overall the UK saw no change to its re</w:t>
      </w:r>
      <w:r w:rsidR="005D639C" w:rsidRPr="001F3A6E">
        <w:rPr>
          <w:rFonts w:asciiTheme="minorHAnsi" w:hAnsiTheme="minorHAnsi" w:cstheme="minorHAnsi"/>
        </w:rPr>
        <w:t xml:space="preserve">al weekly earnings between 2016 </w:t>
      </w:r>
      <w:r w:rsidRPr="001F3A6E">
        <w:rPr>
          <w:rFonts w:asciiTheme="minorHAnsi" w:hAnsiTheme="minorHAnsi" w:cstheme="minorHAnsi"/>
        </w:rPr>
        <w:t>and 2017 (£539).</w:t>
      </w:r>
      <w:r w:rsidR="005D639C" w:rsidRPr="001F3A6E">
        <w:rPr>
          <w:rFonts w:asciiTheme="minorHAnsi" w:hAnsiTheme="minorHAnsi" w:cstheme="minorHAnsi"/>
        </w:rPr>
        <w:t xml:space="preserve"> </w:t>
      </w:r>
      <w:r w:rsidRPr="001F3A6E">
        <w:rPr>
          <w:rFonts w:asciiTheme="minorHAnsi" w:hAnsiTheme="minorHAnsi" w:cstheme="minorHAnsi"/>
        </w:rPr>
        <w:t xml:space="preserve"> However, 35 cities saw their weekly </w:t>
      </w:r>
      <w:r w:rsidR="005D639C" w:rsidRPr="001F3A6E">
        <w:rPr>
          <w:rFonts w:asciiTheme="minorHAnsi" w:hAnsiTheme="minorHAnsi" w:cstheme="minorHAnsi"/>
        </w:rPr>
        <w:t xml:space="preserve">salaries decrease in real terms </w:t>
      </w:r>
      <w:r w:rsidRPr="001F3A6E">
        <w:rPr>
          <w:rFonts w:asciiTheme="minorHAnsi" w:hAnsiTheme="minorHAnsi" w:cstheme="minorHAnsi"/>
        </w:rPr>
        <w:t>between 2016 and 2017.</w:t>
      </w:r>
      <w:r w:rsidR="005D639C" w:rsidRPr="001F3A6E">
        <w:rPr>
          <w:rFonts w:asciiTheme="minorHAnsi" w:hAnsiTheme="minorHAnsi" w:cstheme="minorHAnsi"/>
        </w:rPr>
        <w:t xml:space="preserve"> In contrast, Luton experienced the largest increase in wages, with a real increase of £29 per week between 2016 and 2017, followed by York (£19), Middlesbrough (£13), Dundee (£14) and Brighton (£12).</w:t>
      </w:r>
    </w:p>
    <w:p w:rsidR="0080076B" w:rsidRPr="001F3A6E" w:rsidRDefault="0080076B" w:rsidP="00CA65DC">
      <w:pPr>
        <w:autoSpaceDE w:val="0"/>
        <w:autoSpaceDN w:val="0"/>
        <w:adjustRightInd w:val="0"/>
        <w:rPr>
          <w:rFonts w:asciiTheme="minorHAnsi" w:hAnsiTheme="minorHAnsi" w:cstheme="minorHAnsi"/>
        </w:rPr>
      </w:pPr>
    </w:p>
    <w:p w:rsidR="0080076B" w:rsidRPr="001F3A6E" w:rsidRDefault="0080076B" w:rsidP="00CA65DC">
      <w:pPr>
        <w:autoSpaceDE w:val="0"/>
        <w:autoSpaceDN w:val="0"/>
        <w:adjustRightInd w:val="0"/>
        <w:rPr>
          <w:rFonts w:asciiTheme="minorHAnsi" w:hAnsiTheme="minorHAnsi" w:cstheme="minorHAnsi"/>
        </w:rPr>
      </w:pPr>
      <w:r w:rsidRPr="001F3A6E">
        <w:rPr>
          <w:rFonts w:asciiTheme="minorHAnsi" w:hAnsiTheme="minorHAnsi" w:cstheme="minorHAnsi"/>
        </w:rPr>
        <w:t>Centre for Cities produce a ‘Gini coefficient’</w:t>
      </w:r>
      <w:r w:rsidRPr="001F3A6E">
        <w:rPr>
          <w:rStyle w:val="FootnoteReference"/>
          <w:rFonts w:asciiTheme="minorHAnsi" w:hAnsiTheme="minorHAnsi" w:cstheme="minorHAnsi"/>
        </w:rPr>
        <w:footnoteReference w:id="3"/>
      </w:r>
      <w:r w:rsidRPr="001F3A6E">
        <w:rPr>
          <w:rFonts w:asciiTheme="minorHAnsi" w:hAnsiTheme="minorHAnsi" w:cstheme="minorHAnsi"/>
        </w:rPr>
        <w:t xml:space="preserve"> for each city to measure inequality.  The coefficient gives a value between zero and one, with zero representing perfect equality and one representing a very unequal society. The average</w:t>
      </w:r>
      <w:r w:rsidR="00FD3A10" w:rsidRPr="001F3A6E">
        <w:rPr>
          <w:rFonts w:asciiTheme="minorHAnsi" w:hAnsiTheme="minorHAnsi" w:cstheme="minorHAnsi"/>
        </w:rPr>
        <w:t xml:space="preserve"> </w:t>
      </w:r>
      <w:r w:rsidRPr="001F3A6E">
        <w:rPr>
          <w:rFonts w:asciiTheme="minorHAnsi" w:hAnsiTheme="minorHAnsi" w:cstheme="minorHAnsi"/>
        </w:rPr>
        <w:t>rating for</w:t>
      </w:r>
      <w:r w:rsidR="00FD3A10" w:rsidRPr="001F3A6E">
        <w:rPr>
          <w:rFonts w:asciiTheme="minorHAnsi" w:hAnsiTheme="minorHAnsi" w:cstheme="minorHAnsi"/>
        </w:rPr>
        <w:t xml:space="preserve"> England and</w:t>
      </w:r>
      <w:r w:rsidRPr="001F3A6E">
        <w:rPr>
          <w:rFonts w:asciiTheme="minorHAnsi" w:hAnsiTheme="minorHAnsi" w:cstheme="minorHAnsi"/>
        </w:rPr>
        <w:t xml:space="preserve"> Wales</w:t>
      </w:r>
      <w:r w:rsidR="00FD3A10" w:rsidRPr="001F3A6E">
        <w:rPr>
          <w:rFonts w:asciiTheme="minorHAnsi" w:hAnsiTheme="minorHAnsi" w:cstheme="minorHAnsi"/>
        </w:rPr>
        <w:t xml:space="preserve"> is 0.410 and the most equal cities tended to be in the north of England or Wales.</w:t>
      </w:r>
    </w:p>
    <w:p w:rsidR="00CE65A0" w:rsidRPr="001F3A6E" w:rsidRDefault="00CE65A0" w:rsidP="00CA65DC">
      <w:pPr>
        <w:autoSpaceDE w:val="0"/>
        <w:autoSpaceDN w:val="0"/>
        <w:adjustRightInd w:val="0"/>
        <w:rPr>
          <w:rFonts w:asciiTheme="minorHAnsi" w:hAnsiTheme="minorHAnsi" w:cstheme="minorHAnsi"/>
        </w:rPr>
      </w:pPr>
    </w:p>
    <w:p w:rsidR="00CE65A0" w:rsidRPr="001F3A6E" w:rsidRDefault="00CE65A0" w:rsidP="00CA65DC">
      <w:pPr>
        <w:autoSpaceDE w:val="0"/>
        <w:autoSpaceDN w:val="0"/>
        <w:adjustRightInd w:val="0"/>
        <w:rPr>
          <w:rFonts w:asciiTheme="minorHAnsi" w:hAnsiTheme="minorHAnsi" w:cstheme="minorHAnsi"/>
        </w:rPr>
      </w:pPr>
      <w:r w:rsidRPr="001F3A6E">
        <w:rPr>
          <w:rFonts w:asciiTheme="minorHAnsi" w:hAnsiTheme="minorHAnsi" w:cstheme="minorHAnsi"/>
        </w:rPr>
        <w:t>Those cities that were most equal also tended to have weaker economies, for example having lower average incomes, fewer knowledge-based services jobs and less productive economies. This means that although these cities were more equal, they were poorer overall. (See ‘Figure 19: The relationship between productivity and inequality’, page 62 in the main report).</w:t>
      </w:r>
    </w:p>
    <w:p w:rsidR="0080076B" w:rsidRPr="001F3A6E" w:rsidRDefault="0080076B" w:rsidP="00CA65DC">
      <w:pPr>
        <w:autoSpaceDE w:val="0"/>
        <w:autoSpaceDN w:val="0"/>
        <w:adjustRightInd w:val="0"/>
        <w:rPr>
          <w:rFonts w:asciiTheme="minorHAnsi" w:hAnsiTheme="minorHAnsi" w:cstheme="minorHAnsi"/>
        </w:rPr>
      </w:pPr>
    </w:p>
    <w:p w:rsidR="0080076B" w:rsidRPr="001F3A6E" w:rsidRDefault="0080076B" w:rsidP="00CA65DC">
      <w:pPr>
        <w:autoSpaceDE w:val="0"/>
        <w:autoSpaceDN w:val="0"/>
        <w:adjustRightInd w:val="0"/>
        <w:rPr>
          <w:rFonts w:asciiTheme="minorHAnsi" w:hAnsiTheme="minorHAnsi" w:cstheme="minorHAnsi"/>
        </w:rPr>
      </w:pPr>
      <w:r w:rsidRPr="001F3A6E">
        <w:rPr>
          <w:rFonts w:asciiTheme="minorHAnsi" w:hAnsiTheme="minorHAnsi" w:cstheme="minorHAnsi"/>
        </w:rPr>
        <w:t>The top 10 least equal cities were dominate</w:t>
      </w:r>
      <w:r w:rsidR="00FD3A10" w:rsidRPr="001F3A6E">
        <w:rPr>
          <w:rFonts w:asciiTheme="minorHAnsi" w:hAnsiTheme="minorHAnsi" w:cstheme="minorHAnsi"/>
        </w:rPr>
        <w:t xml:space="preserve">d by those in the Greater </w:t>
      </w:r>
      <w:r w:rsidRPr="001F3A6E">
        <w:rPr>
          <w:rFonts w:asciiTheme="minorHAnsi" w:hAnsiTheme="minorHAnsi" w:cstheme="minorHAnsi"/>
        </w:rPr>
        <w:t>South East, Cambridge was the least equal (0.460) followed by Oxford (0.452), London and Reading (0.433) and Brighton &amp; Hove (0.426).</w:t>
      </w:r>
    </w:p>
    <w:p w:rsidR="0080076B" w:rsidRPr="001F3A6E" w:rsidRDefault="0080076B" w:rsidP="00CA65DC">
      <w:pPr>
        <w:autoSpaceDE w:val="0"/>
        <w:autoSpaceDN w:val="0"/>
        <w:adjustRightInd w:val="0"/>
        <w:rPr>
          <w:rFonts w:asciiTheme="minorHAnsi" w:hAnsiTheme="minorHAnsi" w:cstheme="minorHAnsi"/>
        </w:rPr>
      </w:pPr>
    </w:p>
    <w:p w:rsidR="00CE65A0" w:rsidRPr="001F3A6E" w:rsidRDefault="00CE65A0" w:rsidP="00CA65DC">
      <w:pPr>
        <w:autoSpaceDE w:val="0"/>
        <w:autoSpaceDN w:val="0"/>
        <w:adjustRightInd w:val="0"/>
        <w:rPr>
          <w:rFonts w:asciiTheme="minorHAnsi" w:hAnsiTheme="minorHAnsi" w:cstheme="minorHAnsi"/>
          <w:b/>
          <w:bCs/>
        </w:rPr>
      </w:pPr>
      <w:r w:rsidRPr="001F3A6E">
        <w:rPr>
          <w:rFonts w:asciiTheme="minorHAnsi" w:hAnsiTheme="minorHAnsi" w:cstheme="minorHAnsi"/>
          <w:b/>
          <w:bCs/>
        </w:rPr>
        <w:t>Housing</w:t>
      </w:r>
    </w:p>
    <w:p w:rsidR="00CE65A0" w:rsidRPr="001F3A6E" w:rsidRDefault="00CE65A0" w:rsidP="00CA65DC">
      <w:pPr>
        <w:autoSpaceDE w:val="0"/>
        <w:autoSpaceDN w:val="0"/>
        <w:adjustRightInd w:val="0"/>
        <w:rPr>
          <w:rFonts w:asciiTheme="minorHAnsi" w:hAnsiTheme="minorHAnsi" w:cstheme="minorHAnsi"/>
        </w:rPr>
      </w:pPr>
    </w:p>
    <w:p w:rsidR="00CE65A0" w:rsidRPr="001F3A6E" w:rsidRDefault="00CE65A0" w:rsidP="00CA65DC">
      <w:pPr>
        <w:autoSpaceDE w:val="0"/>
        <w:autoSpaceDN w:val="0"/>
        <w:adjustRightInd w:val="0"/>
        <w:rPr>
          <w:rFonts w:asciiTheme="minorHAnsi" w:hAnsiTheme="minorHAnsi" w:cstheme="minorHAnsi"/>
        </w:rPr>
      </w:pPr>
      <w:r w:rsidRPr="001F3A6E">
        <w:rPr>
          <w:rFonts w:asciiTheme="minorHAnsi" w:hAnsiTheme="minorHAnsi" w:cstheme="minorHAnsi"/>
        </w:rPr>
        <w:t>In 36 out of 62 cities, house prices grew</w:t>
      </w:r>
      <w:r w:rsidR="004B050E" w:rsidRPr="001F3A6E">
        <w:rPr>
          <w:rFonts w:asciiTheme="minorHAnsi" w:hAnsiTheme="minorHAnsi" w:cstheme="minorHAnsi"/>
        </w:rPr>
        <w:t xml:space="preserve"> by more than the Great Britain </w:t>
      </w:r>
      <w:r w:rsidR="002217A7" w:rsidRPr="001F3A6E">
        <w:rPr>
          <w:rFonts w:asciiTheme="minorHAnsi" w:hAnsiTheme="minorHAnsi" w:cstheme="minorHAnsi"/>
        </w:rPr>
        <w:t xml:space="preserve">average of 3.8% </w:t>
      </w:r>
      <w:r w:rsidR="004B050E" w:rsidRPr="001F3A6E">
        <w:rPr>
          <w:rFonts w:asciiTheme="minorHAnsi" w:hAnsiTheme="minorHAnsi" w:cstheme="minorHAnsi"/>
        </w:rPr>
        <w:t>(2016/17)</w:t>
      </w:r>
      <w:r w:rsidRPr="001F3A6E">
        <w:rPr>
          <w:rFonts w:asciiTheme="minorHAnsi" w:hAnsiTheme="minorHAnsi" w:cstheme="minorHAnsi"/>
        </w:rPr>
        <w:t>.</w:t>
      </w:r>
      <w:r w:rsidR="00A41F5D">
        <w:rPr>
          <w:rFonts w:asciiTheme="minorHAnsi" w:hAnsiTheme="minorHAnsi" w:cstheme="minorHAnsi"/>
        </w:rPr>
        <w:t xml:space="preserve"> </w:t>
      </w:r>
      <w:r w:rsidRPr="001F3A6E">
        <w:rPr>
          <w:rFonts w:asciiTheme="minorHAnsi" w:hAnsiTheme="minorHAnsi" w:cstheme="minorHAnsi"/>
        </w:rPr>
        <w:t>Southend experienced the highest house pric</w:t>
      </w:r>
      <w:r w:rsidR="004B050E" w:rsidRPr="001F3A6E">
        <w:rPr>
          <w:rFonts w:asciiTheme="minorHAnsi" w:hAnsiTheme="minorHAnsi" w:cstheme="minorHAnsi"/>
        </w:rPr>
        <w:t xml:space="preserve">e growth, with average </w:t>
      </w:r>
      <w:r w:rsidRPr="001F3A6E">
        <w:rPr>
          <w:rFonts w:asciiTheme="minorHAnsi" w:hAnsiTheme="minorHAnsi" w:cstheme="minorHAnsi"/>
        </w:rPr>
        <w:t>pr</w:t>
      </w:r>
      <w:r w:rsidR="002217A7" w:rsidRPr="001F3A6E">
        <w:rPr>
          <w:rFonts w:asciiTheme="minorHAnsi" w:hAnsiTheme="minorHAnsi" w:cstheme="minorHAnsi"/>
        </w:rPr>
        <w:t>ices increasing by 11.4%</w:t>
      </w:r>
      <w:r w:rsidRPr="001F3A6E">
        <w:rPr>
          <w:rFonts w:asciiTheme="minorHAnsi" w:hAnsiTheme="minorHAnsi" w:cstheme="minorHAnsi"/>
        </w:rPr>
        <w:t>, followe</w:t>
      </w:r>
      <w:r w:rsidR="002217A7" w:rsidRPr="001F3A6E">
        <w:rPr>
          <w:rFonts w:asciiTheme="minorHAnsi" w:hAnsiTheme="minorHAnsi" w:cstheme="minorHAnsi"/>
        </w:rPr>
        <w:t>d by Slough (10.8%</w:t>
      </w:r>
      <w:r w:rsidR="004B050E" w:rsidRPr="001F3A6E">
        <w:rPr>
          <w:rFonts w:asciiTheme="minorHAnsi" w:hAnsiTheme="minorHAnsi" w:cstheme="minorHAnsi"/>
        </w:rPr>
        <w:t xml:space="preserve">) and </w:t>
      </w:r>
      <w:r w:rsidR="002217A7" w:rsidRPr="001F3A6E">
        <w:rPr>
          <w:rFonts w:asciiTheme="minorHAnsi" w:hAnsiTheme="minorHAnsi" w:cstheme="minorHAnsi"/>
        </w:rPr>
        <w:t>Northampton (10.2%</w:t>
      </w:r>
      <w:r w:rsidRPr="001F3A6E">
        <w:rPr>
          <w:rFonts w:asciiTheme="minorHAnsi" w:hAnsiTheme="minorHAnsi" w:cstheme="minorHAnsi"/>
        </w:rPr>
        <w:t>).</w:t>
      </w:r>
      <w:r w:rsidR="004B050E" w:rsidRPr="001F3A6E">
        <w:rPr>
          <w:rFonts w:asciiTheme="minorHAnsi" w:hAnsiTheme="minorHAnsi" w:cstheme="minorHAnsi"/>
        </w:rPr>
        <w:t xml:space="preserve">  Brighton &amp; Hove is ranked 9</w:t>
      </w:r>
      <w:r w:rsidR="004B050E" w:rsidRPr="001F3A6E">
        <w:rPr>
          <w:rFonts w:asciiTheme="minorHAnsi" w:hAnsiTheme="minorHAnsi" w:cstheme="minorHAnsi"/>
          <w:vertAlign w:val="superscript"/>
        </w:rPr>
        <w:t>th</w:t>
      </w:r>
      <w:r w:rsidR="002217A7" w:rsidRPr="001F3A6E">
        <w:rPr>
          <w:rFonts w:asciiTheme="minorHAnsi" w:hAnsiTheme="minorHAnsi" w:cstheme="minorHAnsi"/>
        </w:rPr>
        <w:t xml:space="preserve"> (7.4%</w:t>
      </w:r>
      <w:r w:rsidR="004B050E" w:rsidRPr="001F3A6E">
        <w:rPr>
          <w:rFonts w:asciiTheme="minorHAnsi" w:hAnsiTheme="minorHAnsi" w:cstheme="minorHAnsi"/>
        </w:rPr>
        <w:t>).</w:t>
      </w:r>
    </w:p>
    <w:p w:rsidR="00CE65A0" w:rsidRPr="001F3A6E" w:rsidRDefault="00CE65A0" w:rsidP="00CA65DC">
      <w:pPr>
        <w:autoSpaceDE w:val="0"/>
        <w:autoSpaceDN w:val="0"/>
        <w:adjustRightInd w:val="0"/>
        <w:rPr>
          <w:rFonts w:asciiTheme="minorHAnsi" w:hAnsiTheme="minorHAnsi" w:cstheme="minorHAnsi"/>
        </w:rPr>
      </w:pPr>
    </w:p>
    <w:p w:rsidR="00CE65A0" w:rsidRPr="001F3A6E" w:rsidRDefault="00CE65A0" w:rsidP="00CA65DC">
      <w:pPr>
        <w:autoSpaceDE w:val="0"/>
        <w:autoSpaceDN w:val="0"/>
        <w:adjustRightInd w:val="0"/>
        <w:rPr>
          <w:rFonts w:asciiTheme="minorHAnsi" w:hAnsiTheme="minorHAnsi" w:cstheme="minorHAnsi"/>
        </w:rPr>
      </w:pPr>
      <w:r w:rsidRPr="001F3A6E">
        <w:rPr>
          <w:rFonts w:asciiTheme="minorHAnsi" w:hAnsiTheme="minorHAnsi" w:cstheme="minorHAnsi"/>
        </w:rPr>
        <w:t>House prices in London (£592,500)</w:t>
      </w:r>
      <w:r w:rsidR="004B050E" w:rsidRPr="001F3A6E">
        <w:rPr>
          <w:rFonts w:asciiTheme="minorHAnsi" w:hAnsiTheme="minorHAnsi" w:cstheme="minorHAnsi"/>
        </w:rPr>
        <w:t xml:space="preserve"> were twice the British average </w:t>
      </w:r>
      <w:r w:rsidRPr="001F3A6E">
        <w:rPr>
          <w:rFonts w:asciiTheme="minorHAnsi" w:hAnsiTheme="minorHAnsi" w:cstheme="minorHAnsi"/>
        </w:rPr>
        <w:t>(£278,200). Oxford and Cambridge were</w:t>
      </w:r>
      <w:r w:rsidR="004B050E" w:rsidRPr="001F3A6E">
        <w:rPr>
          <w:rFonts w:asciiTheme="minorHAnsi" w:hAnsiTheme="minorHAnsi" w:cstheme="minorHAnsi"/>
        </w:rPr>
        <w:t xml:space="preserve"> second and third with £523,200 </w:t>
      </w:r>
      <w:r w:rsidRPr="001F3A6E">
        <w:rPr>
          <w:rFonts w:asciiTheme="minorHAnsi" w:hAnsiTheme="minorHAnsi" w:cstheme="minorHAnsi"/>
        </w:rPr>
        <w:t>and £505,200, considerably above next placed Brighton (£394,600).</w:t>
      </w:r>
    </w:p>
    <w:p w:rsidR="00890830" w:rsidRPr="001F3A6E" w:rsidRDefault="00890830" w:rsidP="00CA65DC">
      <w:pPr>
        <w:autoSpaceDE w:val="0"/>
        <w:autoSpaceDN w:val="0"/>
        <w:adjustRightInd w:val="0"/>
        <w:rPr>
          <w:rFonts w:asciiTheme="minorHAnsi" w:hAnsiTheme="minorHAnsi" w:cstheme="minorHAnsi"/>
          <w:bCs/>
          <w:color w:val="008A53"/>
        </w:rPr>
      </w:pPr>
    </w:p>
    <w:p w:rsidR="0079495A" w:rsidRPr="001F3A6E" w:rsidRDefault="00890830" w:rsidP="00CA65DC">
      <w:pPr>
        <w:autoSpaceDE w:val="0"/>
        <w:autoSpaceDN w:val="0"/>
        <w:adjustRightInd w:val="0"/>
        <w:rPr>
          <w:rFonts w:asciiTheme="minorHAnsi" w:hAnsiTheme="minorHAnsi" w:cstheme="minorHAnsi"/>
        </w:rPr>
      </w:pPr>
      <w:r w:rsidRPr="001F3A6E">
        <w:rPr>
          <w:rFonts w:asciiTheme="minorHAnsi" w:hAnsiTheme="minorHAnsi" w:cstheme="minorHAnsi"/>
        </w:rPr>
        <w:t>In 2017, on average house prices in Britain were 10 times the annual salary of residents. Oxford was the least affordable city, with house prices being 17.3 times higher than annual earnings followed by London (16.8), Cambridge (15.3) and Brighton &amp; Hove (14.3</w:t>
      </w:r>
      <w:r w:rsidR="0079495A" w:rsidRPr="001F3A6E">
        <w:rPr>
          <w:rFonts w:asciiTheme="minorHAnsi" w:hAnsiTheme="minorHAnsi" w:cstheme="minorHAnsi"/>
        </w:rPr>
        <w:t xml:space="preserve"> with an average wage £27,600 pa</w:t>
      </w:r>
      <w:r w:rsidRPr="001F3A6E">
        <w:rPr>
          <w:rFonts w:asciiTheme="minorHAnsi" w:hAnsiTheme="minorHAnsi" w:cstheme="minorHAnsi"/>
        </w:rPr>
        <w:t>). In total, only 16 out of 62 cities were less affordable than the British average.</w:t>
      </w:r>
    </w:p>
    <w:p w:rsidR="0079495A" w:rsidRPr="001F3A6E" w:rsidRDefault="0079495A" w:rsidP="00CA65DC">
      <w:pPr>
        <w:autoSpaceDE w:val="0"/>
        <w:autoSpaceDN w:val="0"/>
        <w:adjustRightInd w:val="0"/>
        <w:rPr>
          <w:rFonts w:asciiTheme="minorHAnsi" w:hAnsiTheme="minorHAnsi" w:cstheme="minorHAnsi"/>
        </w:rPr>
      </w:pPr>
    </w:p>
    <w:p w:rsidR="001F3A6E" w:rsidRPr="001F3A6E" w:rsidRDefault="001F3A6E" w:rsidP="00CA65DC">
      <w:pPr>
        <w:autoSpaceDE w:val="0"/>
        <w:autoSpaceDN w:val="0"/>
        <w:adjustRightInd w:val="0"/>
        <w:rPr>
          <w:rFonts w:asciiTheme="minorHAnsi" w:hAnsiTheme="minorHAnsi" w:cstheme="minorHAnsi"/>
          <w:b/>
          <w:bCs/>
        </w:rPr>
      </w:pPr>
      <w:r w:rsidRPr="001F3A6E">
        <w:rPr>
          <w:rFonts w:asciiTheme="minorHAnsi" w:hAnsiTheme="minorHAnsi" w:cstheme="minorHAnsi"/>
          <w:b/>
          <w:bCs/>
        </w:rPr>
        <w:t>Environment</w:t>
      </w:r>
    </w:p>
    <w:p w:rsidR="001F3A6E" w:rsidRPr="001F3A6E" w:rsidRDefault="001F3A6E" w:rsidP="00CA65DC">
      <w:pPr>
        <w:autoSpaceDE w:val="0"/>
        <w:autoSpaceDN w:val="0"/>
        <w:adjustRightInd w:val="0"/>
        <w:rPr>
          <w:rFonts w:asciiTheme="minorHAnsi" w:hAnsiTheme="minorHAnsi" w:cstheme="minorHAnsi"/>
        </w:rPr>
      </w:pPr>
    </w:p>
    <w:p w:rsidR="001F3A6E" w:rsidRPr="001F3A6E" w:rsidRDefault="0079495A" w:rsidP="00CA65DC">
      <w:pPr>
        <w:autoSpaceDE w:val="0"/>
        <w:autoSpaceDN w:val="0"/>
        <w:adjustRightInd w:val="0"/>
        <w:rPr>
          <w:rFonts w:asciiTheme="minorHAnsi" w:hAnsiTheme="minorHAnsi" w:cstheme="minorHAnsi"/>
        </w:rPr>
      </w:pPr>
      <w:r w:rsidRPr="001F3A6E">
        <w:rPr>
          <w:rFonts w:asciiTheme="minorHAnsi" w:hAnsiTheme="minorHAnsi" w:cstheme="minorHAnsi"/>
        </w:rPr>
        <w:t>In 2015, average emissions per capita in the UK was 5.9 - Brighton &amp; Hove ranked joint 4</w:t>
      </w:r>
      <w:r w:rsidRPr="001F3A6E">
        <w:rPr>
          <w:rFonts w:asciiTheme="minorHAnsi" w:hAnsiTheme="minorHAnsi" w:cstheme="minorHAnsi"/>
          <w:vertAlign w:val="superscript"/>
        </w:rPr>
        <w:t>th</w:t>
      </w:r>
      <w:r w:rsidRPr="001F3A6E">
        <w:rPr>
          <w:rFonts w:asciiTheme="minorHAnsi" w:hAnsiTheme="minorHAnsi" w:cstheme="minorHAnsi"/>
        </w:rPr>
        <w:t xml:space="preserve"> at 3.6, along with Southend and Worthing.  Luton experienced the lowest emissions per capita at 3.4 and Swansea the highest emissions at 24.6.  </w:t>
      </w:r>
    </w:p>
    <w:p w:rsidR="001F3A6E" w:rsidRPr="001F3A6E" w:rsidRDefault="001F3A6E" w:rsidP="00CA65DC">
      <w:pPr>
        <w:autoSpaceDE w:val="0"/>
        <w:autoSpaceDN w:val="0"/>
        <w:adjustRightInd w:val="0"/>
        <w:rPr>
          <w:rFonts w:asciiTheme="minorHAnsi" w:hAnsiTheme="minorHAnsi" w:cstheme="minorHAnsi"/>
        </w:rPr>
      </w:pPr>
    </w:p>
    <w:p w:rsidR="001F3A6E" w:rsidRPr="001F3A6E" w:rsidRDefault="001F3A6E" w:rsidP="00CA65DC">
      <w:pPr>
        <w:autoSpaceDE w:val="0"/>
        <w:autoSpaceDN w:val="0"/>
        <w:adjustRightInd w:val="0"/>
        <w:rPr>
          <w:rFonts w:asciiTheme="minorHAnsi" w:hAnsiTheme="minorHAnsi" w:cstheme="minorHAnsi"/>
          <w:b/>
          <w:bCs/>
        </w:rPr>
      </w:pPr>
      <w:r w:rsidRPr="001F3A6E">
        <w:rPr>
          <w:rFonts w:asciiTheme="minorHAnsi" w:hAnsiTheme="minorHAnsi" w:cstheme="minorHAnsi"/>
          <w:b/>
          <w:bCs/>
        </w:rPr>
        <w:t>Digital connectivity</w:t>
      </w:r>
    </w:p>
    <w:p w:rsidR="001F3A6E" w:rsidRPr="001F3A6E" w:rsidRDefault="001F3A6E" w:rsidP="00CA65DC">
      <w:pPr>
        <w:autoSpaceDE w:val="0"/>
        <w:autoSpaceDN w:val="0"/>
        <w:adjustRightInd w:val="0"/>
        <w:rPr>
          <w:rFonts w:asciiTheme="minorHAnsi" w:hAnsiTheme="minorHAnsi" w:cstheme="minorHAnsi"/>
        </w:rPr>
      </w:pPr>
    </w:p>
    <w:p w:rsidR="00AA4A08" w:rsidRPr="001F3A6E" w:rsidRDefault="001F3A6E" w:rsidP="00CA65DC">
      <w:pPr>
        <w:autoSpaceDE w:val="0"/>
        <w:autoSpaceDN w:val="0"/>
        <w:adjustRightInd w:val="0"/>
        <w:rPr>
          <w:rFonts w:asciiTheme="minorHAnsi" w:hAnsiTheme="minorHAnsi" w:cstheme="minorHAnsi"/>
        </w:rPr>
      </w:pPr>
      <w:r w:rsidRPr="001F3A6E">
        <w:rPr>
          <w:rFonts w:asciiTheme="minorHAnsi" w:hAnsiTheme="minorHAnsi" w:cstheme="minorHAnsi"/>
        </w:rPr>
        <w:t>Brighton &amp; Hove ranked 9</w:t>
      </w:r>
      <w:r w:rsidRPr="001F3A6E">
        <w:rPr>
          <w:rFonts w:asciiTheme="minorHAnsi" w:hAnsiTheme="minorHAnsi" w:cstheme="minorHAnsi"/>
          <w:vertAlign w:val="superscript"/>
        </w:rPr>
        <w:t>th</w:t>
      </w:r>
      <w:r w:rsidRPr="001F3A6E">
        <w:rPr>
          <w:rFonts w:asciiTheme="minorHAnsi" w:hAnsiTheme="minorHAnsi" w:cstheme="minorHAnsi"/>
        </w:rPr>
        <w:t xml:space="preserve"> with 91.3 premises </w:t>
      </w:r>
      <w:r w:rsidRPr="001F3A6E">
        <w:rPr>
          <w:rFonts w:asciiTheme="minorHAnsi" w:hAnsiTheme="minorHAnsi" w:cstheme="minorHAnsi"/>
          <w:bCs/>
        </w:rPr>
        <w:t>achieving ultra-fast broadband speeds (&gt; 100 Mbps). Worthing achieved the highest rate at 94.5%, followed by Luton (93.2%) and Cambridge (93.0%).  The UK average is 53.1%.</w:t>
      </w:r>
      <w:r w:rsidR="00AA4A08" w:rsidRPr="001F3A6E">
        <w:rPr>
          <w:rFonts w:asciiTheme="minorHAnsi" w:hAnsiTheme="minorHAnsi" w:cstheme="minorHAnsi"/>
          <w:bCs/>
          <w:color w:val="008A53"/>
        </w:rPr>
        <w:br w:type="page"/>
      </w:r>
    </w:p>
    <w:p w:rsidR="00747177" w:rsidRDefault="00CA65DC" w:rsidP="00CA65DC">
      <w:pPr>
        <w:autoSpaceDE w:val="0"/>
        <w:autoSpaceDN w:val="0"/>
        <w:adjustRightInd w:val="0"/>
        <w:rPr>
          <w:rFonts w:asciiTheme="minorHAnsi" w:hAnsiTheme="minorHAnsi" w:cstheme="minorHAnsi"/>
          <w:b/>
          <w:bCs/>
          <w:color w:val="008A53"/>
        </w:rPr>
      </w:pPr>
      <w:r>
        <w:rPr>
          <w:rFonts w:asciiTheme="minorHAnsi" w:hAnsiTheme="minorHAnsi" w:cstheme="minorHAnsi"/>
          <w:b/>
          <w:bCs/>
          <w:color w:val="008A53"/>
        </w:rPr>
        <w:lastRenderedPageBreak/>
        <w:t>BRIGHTON &amp; HOVE</w:t>
      </w:r>
      <w:r>
        <w:rPr>
          <w:rStyle w:val="FootnoteReference"/>
          <w:rFonts w:asciiTheme="minorHAnsi" w:hAnsiTheme="minorHAnsi" w:cstheme="minorHAnsi"/>
          <w:b/>
          <w:bCs/>
          <w:color w:val="008A53"/>
        </w:rPr>
        <w:footnoteReference w:id="4"/>
      </w:r>
      <w:r>
        <w:rPr>
          <w:rFonts w:asciiTheme="minorHAnsi" w:hAnsiTheme="minorHAnsi" w:cstheme="minorHAnsi"/>
          <w:b/>
          <w:bCs/>
          <w:color w:val="008A53"/>
        </w:rPr>
        <w:t xml:space="preserve"> FACTSHEET, CITIES OUTLOOK 2018</w:t>
      </w:r>
    </w:p>
    <w:p w:rsidR="00CA65DC" w:rsidRPr="001F3A6E" w:rsidRDefault="00CA65DC" w:rsidP="00CA65DC">
      <w:pPr>
        <w:autoSpaceDE w:val="0"/>
        <w:autoSpaceDN w:val="0"/>
        <w:adjustRightInd w:val="0"/>
        <w:rPr>
          <w:rFonts w:asciiTheme="minorHAnsi" w:hAnsiTheme="minorHAnsi" w:cstheme="minorHAnsi"/>
          <w:b/>
          <w:bCs/>
          <w:color w:val="008A53"/>
        </w:rPr>
      </w:pPr>
    </w:p>
    <w:p w:rsidR="00EE1547" w:rsidRPr="001F3A6E" w:rsidRDefault="00CA65DC" w:rsidP="00CA65DC">
      <w:pPr>
        <w:autoSpaceDE w:val="0"/>
        <w:autoSpaceDN w:val="0"/>
        <w:adjustRightInd w:val="0"/>
        <w:rPr>
          <w:rFonts w:asciiTheme="minorHAnsi" w:hAnsiTheme="minorHAnsi" w:cstheme="minorHAnsi"/>
          <w:b/>
          <w:bCs/>
          <w:color w:val="008A53"/>
        </w:rPr>
      </w:pPr>
      <w:r>
        <w:rPr>
          <w:rFonts w:asciiTheme="minorHAnsi" w:hAnsiTheme="minorHAnsi" w:cstheme="minorHAnsi"/>
          <w:b/>
          <w:bCs/>
          <w:color w:val="008A53"/>
        </w:rPr>
        <w:tab/>
      </w:r>
      <w:r>
        <w:rPr>
          <w:rFonts w:asciiTheme="minorHAnsi" w:hAnsiTheme="minorHAnsi" w:cstheme="minorHAnsi"/>
          <w:b/>
          <w:bCs/>
          <w:color w:val="008A53"/>
        </w:rPr>
        <w:tab/>
      </w:r>
      <w:r>
        <w:rPr>
          <w:rFonts w:asciiTheme="minorHAnsi" w:hAnsiTheme="minorHAnsi" w:cstheme="minorHAnsi"/>
          <w:b/>
          <w:bCs/>
          <w:color w:val="008A53"/>
        </w:rPr>
        <w:tab/>
      </w:r>
      <w:r>
        <w:rPr>
          <w:rFonts w:asciiTheme="minorHAnsi" w:hAnsiTheme="minorHAnsi" w:cstheme="minorHAnsi"/>
          <w:b/>
          <w:bCs/>
          <w:color w:val="008A53"/>
        </w:rPr>
        <w:tab/>
      </w:r>
      <w:r>
        <w:rPr>
          <w:rFonts w:asciiTheme="minorHAnsi" w:hAnsiTheme="minorHAnsi" w:cstheme="minorHAnsi"/>
          <w:b/>
          <w:bCs/>
          <w:color w:val="008A53"/>
        </w:rPr>
        <w:tab/>
      </w:r>
      <w:r>
        <w:rPr>
          <w:rFonts w:asciiTheme="minorHAnsi" w:hAnsiTheme="minorHAnsi" w:cstheme="minorHAnsi"/>
          <w:b/>
          <w:bCs/>
          <w:color w:val="008A53"/>
        </w:rPr>
        <w:tab/>
      </w:r>
      <w:r>
        <w:rPr>
          <w:rFonts w:asciiTheme="minorHAnsi" w:hAnsiTheme="minorHAnsi" w:cstheme="minorHAnsi"/>
          <w:b/>
          <w:bCs/>
          <w:color w:val="008A53"/>
        </w:rPr>
        <w:tab/>
        <w:t xml:space="preserve">RANK </w:t>
      </w:r>
      <w:r>
        <w:rPr>
          <w:rFonts w:asciiTheme="minorHAnsi" w:hAnsiTheme="minorHAnsi" w:cstheme="minorHAnsi"/>
          <w:b/>
          <w:bCs/>
          <w:color w:val="008A53"/>
        </w:rPr>
        <w:tab/>
      </w:r>
      <w:r>
        <w:rPr>
          <w:rFonts w:asciiTheme="minorHAnsi" w:hAnsiTheme="minorHAnsi" w:cstheme="minorHAnsi"/>
          <w:b/>
          <w:bCs/>
          <w:color w:val="008A53"/>
        </w:rPr>
        <w:tab/>
      </w:r>
      <w:r>
        <w:rPr>
          <w:rFonts w:asciiTheme="minorHAnsi" w:hAnsiTheme="minorHAnsi" w:cstheme="minorHAnsi"/>
          <w:b/>
          <w:bCs/>
          <w:color w:val="008A53"/>
        </w:rPr>
        <w:tab/>
        <w:t xml:space="preserve">RANK </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color w:val="000000"/>
        </w:rPr>
      </w:pPr>
      <w:proofErr w:type="gramStart"/>
      <w:r w:rsidRPr="001F3A6E">
        <w:rPr>
          <w:rFonts w:asciiTheme="minorHAnsi" w:hAnsiTheme="minorHAnsi" w:cstheme="minorHAnsi"/>
          <w:b/>
          <w:bCs/>
          <w:color w:val="008A53"/>
        </w:rPr>
        <w:t>area</w:t>
      </w:r>
      <w:proofErr w:type="gramEnd"/>
      <w:r w:rsidRPr="001F3A6E">
        <w:rPr>
          <w:rFonts w:asciiTheme="minorHAnsi" w:hAnsiTheme="minorHAnsi" w:cstheme="minorHAnsi"/>
          <w:b/>
          <w:bCs/>
          <w:color w:val="008A53"/>
        </w:rPr>
        <w:t xml:space="preserve"> km2 </w:t>
      </w:r>
      <w:r w:rsidRPr="001F3A6E">
        <w:rPr>
          <w:rFonts w:asciiTheme="minorHAnsi" w:hAnsiTheme="minorHAnsi" w:cstheme="minorHAnsi"/>
          <w:b/>
          <w:bCs/>
          <w:color w:val="008A53"/>
        </w:rPr>
        <w:tab/>
      </w:r>
      <w:r w:rsidRPr="001F3A6E">
        <w:rPr>
          <w:rFonts w:asciiTheme="minorHAnsi" w:hAnsiTheme="minorHAnsi" w:cstheme="minorHAnsi"/>
          <w:b/>
          <w:bCs/>
          <w:color w:val="008A53"/>
        </w:rPr>
        <w:tab/>
      </w:r>
      <w:r w:rsidRPr="001F3A6E">
        <w:rPr>
          <w:rFonts w:asciiTheme="minorHAnsi" w:hAnsiTheme="minorHAnsi" w:cstheme="minorHAnsi"/>
          <w:b/>
          <w:bCs/>
          <w:color w:val="008A53"/>
        </w:rPr>
        <w:tab/>
      </w:r>
      <w:r w:rsidRPr="001F3A6E">
        <w:rPr>
          <w:rFonts w:asciiTheme="minorHAnsi" w:hAnsiTheme="minorHAnsi" w:cstheme="minorHAnsi"/>
          <w:b/>
          <w:bCs/>
          <w:color w:val="008A53"/>
        </w:rPr>
        <w:tab/>
      </w:r>
      <w:r w:rsidRPr="001F3A6E">
        <w:rPr>
          <w:rFonts w:asciiTheme="minorHAnsi" w:hAnsiTheme="minorHAnsi" w:cstheme="minorHAnsi"/>
          <w:b/>
          <w:bCs/>
          <w:color w:val="008A53"/>
        </w:rPr>
        <w:tab/>
      </w:r>
      <w:r w:rsidRPr="001F3A6E">
        <w:rPr>
          <w:rFonts w:asciiTheme="minorHAnsi" w:hAnsiTheme="minorHAnsi" w:cstheme="minorHAnsi"/>
          <w:b/>
          <w:bCs/>
          <w:color w:val="008A53"/>
        </w:rPr>
        <w:tab/>
      </w:r>
      <w:r w:rsidRPr="001F3A6E">
        <w:rPr>
          <w:rFonts w:asciiTheme="minorHAnsi" w:hAnsiTheme="minorHAnsi" w:cstheme="minorHAnsi"/>
          <w:b/>
          <w:bCs/>
          <w:color w:val="000000"/>
        </w:rPr>
        <w:t xml:space="preserve">120 </w:t>
      </w:r>
      <w:r w:rsidRPr="001F3A6E">
        <w:rPr>
          <w:rFonts w:asciiTheme="minorHAnsi" w:hAnsiTheme="minorHAnsi" w:cstheme="minorHAnsi"/>
          <w:color w:val="000000"/>
        </w:rPr>
        <w:t>(47/63)</w:t>
      </w:r>
    </w:p>
    <w:p w:rsidR="00747177" w:rsidRPr="001F3A6E" w:rsidRDefault="00747177" w:rsidP="00CA65DC">
      <w:pPr>
        <w:autoSpaceDE w:val="0"/>
        <w:autoSpaceDN w:val="0"/>
        <w:adjustRightInd w:val="0"/>
        <w:rPr>
          <w:rFonts w:asciiTheme="minorHAnsi" w:hAnsiTheme="minorHAnsi" w:cstheme="minorHAnsi"/>
          <w:color w:val="FF0000"/>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people</w:t>
      </w:r>
      <w:proofErr w:type="gramEnd"/>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Total population,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352,700 </w:t>
      </w:r>
      <w:r w:rsidRPr="001F3A6E">
        <w:rPr>
          <w:rFonts w:asciiTheme="minorHAnsi" w:hAnsiTheme="minorHAnsi" w:cstheme="minorHAnsi"/>
          <w:color w:val="000000"/>
        </w:rPr>
        <w:t>(26/63)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Population change, </w:t>
      </w:r>
      <w:proofErr w:type="gramStart"/>
      <w:r w:rsidRPr="001F3A6E">
        <w:rPr>
          <w:rFonts w:asciiTheme="minorHAnsi" w:hAnsiTheme="minorHAnsi" w:cstheme="minorHAnsi"/>
          <w:color w:val="000000"/>
        </w:rPr>
        <w:t>2015-16</w:t>
      </w:r>
      <w:r w:rsidR="00671380" w:rsidRPr="001F3A6E">
        <w:rPr>
          <w:rFonts w:asciiTheme="minorHAnsi" w:hAnsiTheme="minorHAnsi" w:cstheme="minorHAnsi"/>
          <w:color w:val="000000"/>
        </w:rPr>
        <w:t xml:space="preserve"> </w:t>
      </w:r>
      <w:r w:rsidRPr="001F3A6E">
        <w:rPr>
          <w:rFonts w:asciiTheme="minorHAnsi" w:hAnsiTheme="minorHAnsi" w:cstheme="minorHAnsi"/>
          <w:color w:val="000000"/>
        </w:rPr>
        <w:t xml:space="preserve">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1.1% </w:t>
      </w:r>
      <w:r w:rsidRPr="001F3A6E">
        <w:rPr>
          <w:rFonts w:asciiTheme="minorHAnsi" w:hAnsiTheme="minorHAnsi" w:cstheme="minorHAnsi"/>
          <w:color w:val="000000"/>
        </w:rPr>
        <w:t>(12/63)</w:t>
      </w:r>
      <w:proofErr w:type="gramEnd"/>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business</w:t>
      </w:r>
      <w:proofErr w:type="gramEnd"/>
      <w:r w:rsidRPr="001F3A6E">
        <w:rPr>
          <w:rFonts w:asciiTheme="minorHAnsi" w:hAnsiTheme="minorHAnsi" w:cstheme="minorHAnsi"/>
          <w:b/>
          <w:bCs/>
          <w:color w:val="008A53"/>
        </w:rPr>
        <w:t xml:space="preserve"> &amp; innovation</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Business start-ups per 10,000 pop,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69.3 </w:t>
      </w:r>
      <w:r w:rsidRPr="001F3A6E">
        <w:rPr>
          <w:rFonts w:asciiTheme="minorHAnsi" w:hAnsiTheme="minorHAnsi" w:cstheme="minorHAnsi"/>
          <w:color w:val="000000"/>
        </w:rPr>
        <w:t>(8/62)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Business stock per 10,000 pop,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453 </w:t>
      </w:r>
      <w:r w:rsidRPr="001F3A6E">
        <w:rPr>
          <w:rFonts w:asciiTheme="minorHAnsi" w:hAnsiTheme="minorHAnsi" w:cstheme="minorHAnsi"/>
          <w:color w:val="000000"/>
        </w:rPr>
        <w:t>(4/62)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Patent applications per 100,000 pop,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12.7 </w:t>
      </w:r>
      <w:r w:rsidRPr="001F3A6E">
        <w:rPr>
          <w:rFonts w:asciiTheme="minorHAnsi" w:hAnsiTheme="minorHAnsi" w:cstheme="minorHAnsi"/>
          <w:color w:val="000000"/>
        </w:rPr>
        <w:t>(35/63)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Gross Value Added (£</w:t>
      </w:r>
      <w:proofErr w:type="spellStart"/>
      <w:r w:rsidRPr="001F3A6E">
        <w:rPr>
          <w:rFonts w:asciiTheme="minorHAnsi" w:hAnsiTheme="minorHAnsi" w:cstheme="minorHAnsi"/>
          <w:color w:val="000000"/>
        </w:rPr>
        <w:t>bn</w:t>
      </w:r>
      <w:proofErr w:type="spellEnd"/>
      <w:r w:rsidRPr="001F3A6E">
        <w:rPr>
          <w:rFonts w:asciiTheme="minorHAnsi" w:hAnsiTheme="minorHAnsi" w:cstheme="minorHAnsi"/>
          <w:color w:val="000000"/>
        </w:rPr>
        <w:t xml:space="preserve">),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£8.5 </w:t>
      </w:r>
      <w:r w:rsidRPr="001F3A6E">
        <w:rPr>
          <w:rFonts w:asciiTheme="minorHAnsi" w:hAnsiTheme="minorHAnsi" w:cstheme="minorHAnsi"/>
          <w:color w:val="000000"/>
        </w:rPr>
        <w:t>(22/62)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GVA per worker,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£52,700 </w:t>
      </w:r>
      <w:r w:rsidRPr="001F3A6E">
        <w:rPr>
          <w:rFonts w:asciiTheme="minorHAnsi" w:hAnsiTheme="minorHAnsi" w:cstheme="minorHAnsi"/>
          <w:color w:val="000000"/>
        </w:rPr>
        <w:t>(16/62)</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skills</w:t>
      </w:r>
      <w:proofErr w:type="gramEnd"/>
      <w:r w:rsidRPr="001F3A6E">
        <w:rPr>
          <w:rFonts w:asciiTheme="minorHAnsi" w:hAnsiTheme="minorHAnsi" w:cstheme="minorHAnsi"/>
          <w:b/>
          <w:bCs/>
          <w:color w:val="008A53"/>
        </w:rPr>
        <w:t xml:space="preserve"> &amp; education</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High level qualifications,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111,700 </w:t>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46.5% </w:t>
      </w:r>
      <w:r w:rsidRPr="001F3A6E">
        <w:rPr>
          <w:rFonts w:asciiTheme="minorHAnsi" w:hAnsiTheme="minorHAnsi" w:cstheme="minorHAnsi"/>
          <w:color w:val="000000"/>
        </w:rPr>
        <w:t>(8/63)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No formal qualifications,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9,200 </w:t>
      </w:r>
      <w:r w:rsidRPr="001F3A6E">
        <w:rPr>
          <w:rFonts w:asciiTheme="minorHAnsi" w:hAnsiTheme="minorHAnsi" w:cstheme="minorHAnsi"/>
          <w:b/>
          <w:bCs/>
          <w:color w:val="000000"/>
        </w:rPr>
        <w:tab/>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3.8% </w:t>
      </w:r>
      <w:r w:rsidRPr="001F3A6E">
        <w:rPr>
          <w:rFonts w:asciiTheme="minorHAnsi" w:hAnsiTheme="minorHAnsi" w:cstheme="minorHAnsi"/>
          <w:color w:val="000000"/>
        </w:rPr>
        <w:t>(3/63)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5A*-C GCSEs </w:t>
      </w:r>
      <w:proofErr w:type="spellStart"/>
      <w:r w:rsidRPr="001F3A6E">
        <w:rPr>
          <w:rFonts w:asciiTheme="minorHAnsi" w:hAnsiTheme="minorHAnsi" w:cstheme="minorHAnsi"/>
          <w:color w:val="000000"/>
        </w:rPr>
        <w:t>inc.</w:t>
      </w:r>
      <w:proofErr w:type="spellEnd"/>
      <w:r w:rsidRPr="001F3A6E">
        <w:rPr>
          <w:rFonts w:asciiTheme="minorHAnsi" w:hAnsiTheme="minorHAnsi" w:cstheme="minorHAnsi"/>
          <w:color w:val="000000"/>
        </w:rPr>
        <w:t xml:space="preserve"> Maths &amp; Eng.,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58.9% </w:t>
      </w:r>
      <w:r w:rsidRPr="001F3A6E">
        <w:rPr>
          <w:rFonts w:asciiTheme="minorHAnsi" w:hAnsiTheme="minorHAnsi" w:cstheme="minorHAnsi"/>
          <w:color w:val="000000"/>
        </w:rPr>
        <w:t>(17/59)</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jobs</w:t>
      </w:r>
      <w:proofErr w:type="gramEnd"/>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Employment, 2017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181,200 </w:t>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75.4% </w:t>
      </w:r>
      <w:r w:rsidRPr="001F3A6E">
        <w:rPr>
          <w:rFonts w:asciiTheme="minorHAnsi" w:hAnsiTheme="minorHAnsi" w:cstheme="minorHAnsi"/>
          <w:color w:val="000000"/>
        </w:rPr>
        <w:t>(22/63)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Private to public sector ratio,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2.4 </w:t>
      </w:r>
      <w:r w:rsidRPr="001F3A6E">
        <w:rPr>
          <w:rFonts w:asciiTheme="minorHAnsi" w:hAnsiTheme="minorHAnsi" w:cstheme="minorHAnsi"/>
          <w:color w:val="000000"/>
        </w:rPr>
        <w:t>(33/62)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Private sector jobs change 2015-16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5,500 </w:t>
      </w:r>
      <w:r w:rsidRPr="001F3A6E">
        <w:rPr>
          <w:rFonts w:asciiTheme="minorHAnsi" w:hAnsiTheme="minorHAnsi" w:cstheme="minorHAnsi"/>
          <w:b/>
          <w:bCs/>
          <w:color w:val="000000"/>
        </w:rPr>
        <w:tab/>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5.1% </w:t>
      </w:r>
      <w:r w:rsidRPr="001F3A6E">
        <w:rPr>
          <w:rFonts w:asciiTheme="minorHAnsi" w:hAnsiTheme="minorHAnsi" w:cstheme="minorHAnsi"/>
          <w:color w:val="000000"/>
        </w:rPr>
        <w:t>(11/62)</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industrial</w:t>
      </w:r>
      <w:proofErr w:type="gramEnd"/>
      <w:r w:rsidRPr="001F3A6E">
        <w:rPr>
          <w:rFonts w:asciiTheme="minorHAnsi" w:hAnsiTheme="minorHAnsi" w:cstheme="minorHAnsi"/>
          <w:b/>
          <w:bCs/>
          <w:color w:val="008A53"/>
        </w:rPr>
        <w:t xml:space="preserve"> structure</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Manufacturing jobs,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5,300 </w:t>
      </w:r>
      <w:r w:rsidRPr="001F3A6E">
        <w:rPr>
          <w:rFonts w:asciiTheme="minorHAnsi" w:hAnsiTheme="minorHAnsi" w:cstheme="minorHAnsi"/>
          <w:b/>
          <w:bCs/>
          <w:color w:val="000000"/>
        </w:rPr>
        <w:tab/>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3.2% </w:t>
      </w:r>
      <w:r w:rsidRPr="001F3A6E">
        <w:rPr>
          <w:rFonts w:asciiTheme="minorHAnsi" w:hAnsiTheme="minorHAnsi" w:cstheme="minorHAnsi"/>
          <w:color w:val="000000"/>
        </w:rPr>
        <w:t>(56/62)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Private knowledge service jobs,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24,900 </w:t>
      </w:r>
      <w:r w:rsidRPr="001F3A6E">
        <w:rPr>
          <w:rFonts w:asciiTheme="minorHAnsi" w:hAnsiTheme="minorHAnsi" w:cstheme="minorHAnsi"/>
          <w:b/>
          <w:bCs/>
          <w:color w:val="000000"/>
        </w:rPr>
        <w:tab/>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15.3% </w:t>
      </w:r>
      <w:r w:rsidRPr="001F3A6E">
        <w:rPr>
          <w:rFonts w:asciiTheme="minorHAnsi" w:hAnsiTheme="minorHAnsi" w:cstheme="minorHAnsi"/>
          <w:color w:val="000000"/>
        </w:rPr>
        <w:t>(12/62)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Public service jobs,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48,000 </w:t>
      </w:r>
      <w:r w:rsidRPr="001F3A6E">
        <w:rPr>
          <w:rFonts w:asciiTheme="minorHAnsi" w:hAnsiTheme="minorHAnsi" w:cstheme="minorHAnsi"/>
          <w:b/>
          <w:bCs/>
          <w:color w:val="000000"/>
        </w:rPr>
        <w:tab/>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29.6% </w:t>
      </w:r>
      <w:r w:rsidRPr="001F3A6E">
        <w:rPr>
          <w:rFonts w:asciiTheme="minorHAnsi" w:hAnsiTheme="minorHAnsi" w:cstheme="minorHAnsi"/>
          <w:color w:val="000000"/>
        </w:rPr>
        <w:t>(29/62)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Other services, 2016 </w:t>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color w:val="000000"/>
        </w:rPr>
        <w:tab/>
      </w:r>
      <w:r w:rsidRPr="001F3A6E">
        <w:rPr>
          <w:rFonts w:asciiTheme="minorHAnsi" w:hAnsiTheme="minorHAnsi" w:cstheme="minorHAnsi"/>
          <w:b/>
          <w:bCs/>
          <w:color w:val="000000"/>
        </w:rPr>
        <w:t xml:space="preserve">76,100 </w:t>
      </w:r>
      <w:r w:rsidRPr="001F3A6E">
        <w:rPr>
          <w:rFonts w:asciiTheme="minorHAnsi" w:hAnsiTheme="minorHAnsi" w:cstheme="minorHAnsi"/>
          <w:b/>
          <w:bCs/>
          <w:color w:val="000000"/>
        </w:rPr>
        <w:tab/>
      </w:r>
      <w:r w:rsidRPr="001F3A6E">
        <w:rPr>
          <w:rFonts w:asciiTheme="minorHAnsi" w:hAnsiTheme="minorHAnsi" w:cstheme="minorHAnsi"/>
          <w:b/>
          <w:bCs/>
          <w:color w:val="000000"/>
        </w:rPr>
        <w:tab/>
      </w:r>
      <w:r w:rsidRPr="001F3A6E">
        <w:rPr>
          <w:rFonts w:asciiTheme="minorHAnsi" w:hAnsiTheme="minorHAnsi" w:cstheme="minorHAnsi"/>
          <w:b/>
          <w:bCs/>
          <w:color w:val="000000"/>
        </w:rPr>
        <w:tab/>
        <w:t xml:space="preserve">46.9% </w:t>
      </w:r>
      <w:r w:rsidRPr="001F3A6E">
        <w:rPr>
          <w:rFonts w:asciiTheme="minorHAnsi" w:hAnsiTheme="minorHAnsi" w:cstheme="minorHAnsi"/>
          <w:color w:val="000000"/>
        </w:rPr>
        <w:t>(17/62)</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wages</w:t>
      </w:r>
      <w:proofErr w:type="gramEnd"/>
      <w:r w:rsidRPr="001F3A6E">
        <w:rPr>
          <w:rFonts w:asciiTheme="minorHAnsi" w:hAnsiTheme="minorHAnsi" w:cstheme="minorHAnsi"/>
          <w:b/>
          <w:bCs/>
          <w:color w:val="008A53"/>
        </w:rPr>
        <w:t xml:space="preserve"> &amp; inequality</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Average weekly workplace wages, 2017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£496 </w:t>
      </w:r>
      <w:r w:rsidRPr="001F3A6E">
        <w:rPr>
          <w:rFonts w:asciiTheme="minorHAnsi" w:hAnsiTheme="minorHAnsi" w:cstheme="minorHAnsi"/>
          <w:color w:val="000000"/>
        </w:rPr>
        <w:t>(38/63)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Change in real wages, 2016-17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£11 </w:t>
      </w:r>
      <w:r w:rsidRPr="001F3A6E">
        <w:rPr>
          <w:rFonts w:asciiTheme="minorHAnsi" w:hAnsiTheme="minorHAnsi" w:cstheme="minorHAnsi"/>
          <w:color w:val="000000"/>
        </w:rPr>
        <w:t xml:space="preserve">(6/63)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2.3% </w:t>
      </w:r>
      <w:r w:rsidRPr="001F3A6E">
        <w:rPr>
          <w:rFonts w:asciiTheme="minorHAnsi" w:hAnsiTheme="minorHAnsi" w:cstheme="minorHAnsi"/>
          <w:color w:val="000000"/>
        </w:rPr>
        <w:t>(5/63)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Gini coefficient, 2015/16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0.426 </w:t>
      </w:r>
      <w:r w:rsidRPr="001F3A6E">
        <w:rPr>
          <w:rFonts w:asciiTheme="minorHAnsi" w:hAnsiTheme="minorHAnsi" w:cstheme="minorHAnsi"/>
          <w:color w:val="000000"/>
        </w:rPr>
        <w:t>(5/58)</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unemployment</w:t>
      </w:r>
      <w:proofErr w:type="gramEnd"/>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JSA claimant count, Nov 2017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3,430 </w:t>
      </w:r>
      <w:r w:rsidR="00834ED0" w:rsidRPr="001F3A6E">
        <w:rPr>
          <w:rFonts w:asciiTheme="minorHAnsi" w:hAnsiTheme="minorHAnsi" w:cstheme="minorHAnsi"/>
          <w:b/>
          <w:bCs/>
          <w:color w:val="000000"/>
        </w:rPr>
        <w:tab/>
      </w:r>
      <w:r w:rsidR="00834ED0" w:rsidRPr="001F3A6E">
        <w:rPr>
          <w:rFonts w:asciiTheme="minorHAnsi" w:hAnsiTheme="minorHAnsi" w:cstheme="minorHAnsi"/>
          <w:b/>
          <w:bCs/>
          <w:color w:val="000000"/>
        </w:rPr>
        <w:tab/>
      </w:r>
      <w:r w:rsidR="00834ED0" w:rsidRPr="001F3A6E">
        <w:rPr>
          <w:rFonts w:asciiTheme="minorHAnsi" w:hAnsiTheme="minorHAnsi" w:cstheme="minorHAnsi"/>
          <w:b/>
          <w:bCs/>
          <w:color w:val="000000"/>
        </w:rPr>
        <w:tab/>
      </w:r>
      <w:r w:rsidRPr="001F3A6E">
        <w:rPr>
          <w:rFonts w:asciiTheme="minorHAnsi" w:hAnsiTheme="minorHAnsi" w:cstheme="minorHAnsi"/>
          <w:b/>
          <w:bCs/>
          <w:color w:val="000000"/>
        </w:rPr>
        <w:t xml:space="preserve">1.4% </w:t>
      </w:r>
      <w:r w:rsidRPr="001F3A6E">
        <w:rPr>
          <w:rFonts w:asciiTheme="minorHAnsi" w:hAnsiTheme="minorHAnsi" w:cstheme="minorHAnsi"/>
          <w:color w:val="000000"/>
        </w:rPr>
        <w:t>(16/63)</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Youth JSA claimant count, Nov 2017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670 </w:t>
      </w:r>
      <w:r w:rsidR="00834ED0" w:rsidRPr="001F3A6E">
        <w:rPr>
          <w:rFonts w:asciiTheme="minorHAnsi" w:hAnsiTheme="minorHAnsi" w:cstheme="minorHAnsi"/>
          <w:b/>
          <w:bCs/>
          <w:color w:val="000000"/>
        </w:rPr>
        <w:tab/>
      </w:r>
      <w:r w:rsidR="00834ED0" w:rsidRPr="001F3A6E">
        <w:rPr>
          <w:rFonts w:asciiTheme="minorHAnsi" w:hAnsiTheme="minorHAnsi" w:cstheme="minorHAnsi"/>
          <w:b/>
          <w:bCs/>
          <w:color w:val="000000"/>
        </w:rPr>
        <w:tab/>
      </w:r>
      <w:r w:rsidR="00834ED0" w:rsidRPr="001F3A6E">
        <w:rPr>
          <w:rFonts w:asciiTheme="minorHAnsi" w:hAnsiTheme="minorHAnsi" w:cstheme="minorHAnsi"/>
          <w:b/>
          <w:bCs/>
          <w:color w:val="000000"/>
        </w:rPr>
        <w:tab/>
      </w:r>
      <w:r w:rsidRPr="001F3A6E">
        <w:rPr>
          <w:rFonts w:asciiTheme="minorHAnsi" w:hAnsiTheme="minorHAnsi" w:cstheme="minorHAnsi"/>
          <w:b/>
          <w:bCs/>
          <w:color w:val="000000"/>
        </w:rPr>
        <w:t xml:space="preserve">1.3% </w:t>
      </w:r>
      <w:r w:rsidRPr="001F3A6E">
        <w:rPr>
          <w:rFonts w:asciiTheme="minorHAnsi" w:hAnsiTheme="minorHAnsi" w:cstheme="minorHAnsi"/>
          <w:color w:val="000000"/>
        </w:rPr>
        <w:t>(11/63)</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housing</w:t>
      </w:r>
      <w:proofErr w:type="gramEnd"/>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Average house price, 2017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£394,640 </w:t>
      </w:r>
      <w:r w:rsidRPr="001F3A6E">
        <w:rPr>
          <w:rFonts w:asciiTheme="minorHAnsi" w:hAnsiTheme="minorHAnsi" w:cstheme="minorHAnsi"/>
          <w:color w:val="000000"/>
        </w:rPr>
        <w:t>(4/62)</w:t>
      </w:r>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Affordability ratio, 2017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14.3 </w:t>
      </w:r>
      <w:r w:rsidRPr="001F3A6E">
        <w:rPr>
          <w:rFonts w:asciiTheme="minorHAnsi" w:hAnsiTheme="minorHAnsi" w:cstheme="minorHAnsi"/>
          <w:color w:val="000000"/>
        </w:rPr>
        <w:t>(4/62)</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environment</w:t>
      </w:r>
      <w:proofErr w:type="gramEnd"/>
    </w:p>
    <w:p w:rsidR="00EE1547" w:rsidRPr="001F3A6E" w:rsidRDefault="00EE1547" w:rsidP="00CA65DC">
      <w:pPr>
        <w:autoSpaceDE w:val="0"/>
        <w:autoSpaceDN w:val="0"/>
        <w:adjustRightInd w:val="0"/>
        <w:rPr>
          <w:rFonts w:asciiTheme="minorHAnsi" w:hAnsiTheme="minorHAnsi" w:cstheme="minorHAnsi"/>
          <w:color w:val="000000"/>
        </w:rPr>
      </w:pPr>
      <w:r w:rsidRPr="001F3A6E">
        <w:rPr>
          <w:rFonts w:asciiTheme="minorHAnsi" w:hAnsiTheme="minorHAnsi" w:cstheme="minorHAnsi"/>
          <w:color w:val="000000"/>
        </w:rPr>
        <w:t xml:space="preserve">CO2 emissions per capita (t), 2015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3.6 </w:t>
      </w:r>
      <w:r w:rsidRPr="001F3A6E">
        <w:rPr>
          <w:rFonts w:asciiTheme="minorHAnsi" w:hAnsiTheme="minorHAnsi" w:cstheme="minorHAnsi"/>
          <w:color w:val="000000"/>
        </w:rPr>
        <w:t>(5/63)</w:t>
      </w:r>
    </w:p>
    <w:p w:rsidR="00EE1547" w:rsidRPr="001F3A6E" w:rsidRDefault="00EE1547" w:rsidP="00CA65DC">
      <w:pPr>
        <w:autoSpaceDE w:val="0"/>
        <w:autoSpaceDN w:val="0"/>
        <w:adjustRightInd w:val="0"/>
        <w:rPr>
          <w:rFonts w:asciiTheme="minorHAnsi" w:hAnsiTheme="minorHAnsi" w:cstheme="minorHAnsi"/>
          <w:b/>
          <w:bCs/>
          <w:color w:val="008A53"/>
        </w:rPr>
      </w:pPr>
    </w:p>
    <w:p w:rsidR="00EE1547" w:rsidRPr="001F3A6E" w:rsidRDefault="00EE1547" w:rsidP="00CA65DC">
      <w:pPr>
        <w:autoSpaceDE w:val="0"/>
        <w:autoSpaceDN w:val="0"/>
        <w:adjustRightInd w:val="0"/>
        <w:rPr>
          <w:rFonts w:asciiTheme="minorHAnsi" w:hAnsiTheme="minorHAnsi" w:cstheme="minorHAnsi"/>
          <w:b/>
          <w:bCs/>
          <w:color w:val="008A53"/>
        </w:rPr>
      </w:pPr>
      <w:proofErr w:type="gramStart"/>
      <w:r w:rsidRPr="001F3A6E">
        <w:rPr>
          <w:rFonts w:asciiTheme="minorHAnsi" w:hAnsiTheme="minorHAnsi" w:cstheme="minorHAnsi"/>
          <w:b/>
          <w:bCs/>
          <w:color w:val="008A53"/>
        </w:rPr>
        <w:t>digital</w:t>
      </w:r>
      <w:proofErr w:type="gramEnd"/>
      <w:r w:rsidRPr="001F3A6E">
        <w:rPr>
          <w:rFonts w:asciiTheme="minorHAnsi" w:hAnsiTheme="minorHAnsi" w:cstheme="minorHAnsi"/>
          <w:b/>
          <w:bCs/>
          <w:color w:val="008A53"/>
        </w:rPr>
        <w:t xml:space="preserve"> connectivity</w:t>
      </w:r>
    </w:p>
    <w:p w:rsidR="001E01F1" w:rsidRPr="001F3A6E" w:rsidRDefault="00EE1547" w:rsidP="00CA65DC">
      <w:pPr>
        <w:spacing w:after="200"/>
        <w:rPr>
          <w:rFonts w:asciiTheme="minorHAnsi" w:hAnsiTheme="minorHAnsi" w:cstheme="minorHAnsi"/>
          <w:b/>
          <w:bCs/>
        </w:rPr>
      </w:pPr>
      <w:r w:rsidRPr="001F3A6E">
        <w:rPr>
          <w:rFonts w:asciiTheme="minorHAnsi" w:hAnsiTheme="minorHAnsi" w:cstheme="minorHAnsi"/>
          <w:color w:val="000000"/>
        </w:rPr>
        <w:t xml:space="preserve">Properties with ultrafast broadband, 2017 </w:t>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00834ED0" w:rsidRPr="001F3A6E">
        <w:rPr>
          <w:rFonts w:asciiTheme="minorHAnsi" w:hAnsiTheme="minorHAnsi" w:cstheme="minorHAnsi"/>
          <w:color w:val="000000"/>
        </w:rPr>
        <w:tab/>
      </w:r>
      <w:r w:rsidRPr="001F3A6E">
        <w:rPr>
          <w:rFonts w:asciiTheme="minorHAnsi" w:hAnsiTheme="minorHAnsi" w:cstheme="minorHAnsi"/>
          <w:b/>
          <w:bCs/>
          <w:color w:val="000000"/>
        </w:rPr>
        <w:t xml:space="preserve">91.3% </w:t>
      </w:r>
      <w:r w:rsidRPr="001F3A6E">
        <w:rPr>
          <w:rFonts w:asciiTheme="minorHAnsi" w:hAnsiTheme="minorHAnsi" w:cstheme="minorHAnsi"/>
          <w:color w:val="000000"/>
        </w:rPr>
        <w:t>(8/63)</w:t>
      </w:r>
    </w:p>
    <w:sectPr w:rsidR="001E01F1" w:rsidRPr="001F3A6E" w:rsidSect="00A41F5D">
      <w:headerReference w:type="even" r:id="rId9"/>
      <w:headerReference w:type="first" r:id="rId10"/>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08ED" w:rsidRDefault="00EF08ED" w:rsidP="00EF08ED">
      <w:r>
        <w:separator/>
      </w:r>
    </w:p>
  </w:endnote>
  <w:endnote w:type="continuationSeparator" w:id="0">
    <w:p w:rsidR="00EF08ED" w:rsidRDefault="00EF08ED" w:rsidP="00EF08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08ED" w:rsidRDefault="00EF08ED" w:rsidP="00EF08ED">
      <w:r>
        <w:separator/>
      </w:r>
    </w:p>
  </w:footnote>
  <w:footnote w:type="continuationSeparator" w:id="0">
    <w:p w:rsidR="00EF08ED" w:rsidRDefault="00EF08ED" w:rsidP="00EF08ED">
      <w:r>
        <w:continuationSeparator/>
      </w:r>
    </w:p>
  </w:footnote>
  <w:footnote w:id="1">
    <w:p w:rsidR="00EF08ED" w:rsidRDefault="00EF08ED">
      <w:pPr>
        <w:pStyle w:val="FootnoteText"/>
      </w:pPr>
      <w:r>
        <w:rPr>
          <w:rStyle w:val="FootnoteReference"/>
        </w:rPr>
        <w:footnoteRef/>
      </w:r>
      <w:r>
        <w:t xml:space="preserve"> Brighton &amp; Hove includes </w:t>
      </w:r>
      <w:proofErr w:type="spellStart"/>
      <w:r>
        <w:t>Adur</w:t>
      </w:r>
      <w:proofErr w:type="spellEnd"/>
      <w:r w:rsidR="00097E74">
        <w:t xml:space="preserve"> in Cities Outlook 2018</w:t>
      </w:r>
    </w:p>
  </w:footnote>
  <w:footnote w:id="2">
    <w:p w:rsidR="00526B49" w:rsidRPr="00526B49" w:rsidRDefault="00526B49">
      <w:pPr>
        <w:pStyle w:val="FootnoteText"/>
        <w:rPr>
          <w:rFonts w:asciiTheme="minorHAnsi" w:hAnsiTheme="minorHAnsi" w:cstheme="minorHAnsi"/>
        </w:rPr>
      </w:pPr>
      <w:r w:rsidRPr="00526B49">
        <w:rPr>
          <w:rStyle w:val="FootnoteReference"/>
          <w:rFonts w:asciiTheme="minorHAnsi" w:hAnsiTheme="minorHAnsi" w:cstheme="minorHAnsi"/>
        </w:rPr>
        <w:footnoteRef/>
      </w:r>
      <w:r w:rsidRPr="00526B49">
        <w:rPr>
          <w:rFonts w:asciiTheme="minorHAnsi" w:hAnsiTheme="minorHAnsi" w:cstheme="minorHAnsi"/>
          <w:sz w:val="16"/>
          <w:szCs w:val="16"/>
        </w:rPr>
        <w:t xml:space="preserve"> </w:t>
      </w:r>
      <w:proofErr w:type="gramStart"/>
      <w:r w:rsidRPr="00526B49">
        <w:rPr>
          <w:rFonts w:asciiTheme="minorHAnsi" w:hAnsiTheme="minorHAnsi" w:cstheme="minorHAnsi"/>
          <w:sz w:val="16"/>
          <w:szCs w:val="16"/>
        </w:rPr>
        <w:t>Difference between business start-ups and business closures as a percentage of total business stock.</w:t>
      </w:r>
      <w:proofErr w:type="gramEnd"/>
    </w:p>
  </w:footnote>
  <w:footnote w:id="3">
    <w:p w:rsidR="0080076B" w:rsidRPr="0080076B" w:rsidRDefault="0080076B" w:rsidP="0080076B">
      <w:pPr>
        <w:autoSpaceDE w:val="0"/>
        <w:autoSpaceDN w:val="0"/>
        <w:adjustRightInd w:val="0"/>
        <w:rPr>
          <w:rFonts w:asciiTheme="minorHAnsi" w:hAnsiTheme="minorHAnsi" w:cstheme="minorHAnsi"/>
          <w:sz w:val="16"/>
          <w:szCs w:val="16"/>
        </w:rPr>
      </w:pPr>
      <w:r w:rsidRPr="0080076B">
        <w:rPr>
          <w:rStyle w:val="FootnoteReference"/>
          <w:rFonts w:asciiTheme="minorHAnsi" w:hAnsiTheme="minorHAnsi" w:cstheme="minorHAnsi"/>
          <w:sz w:val="16"/>
          <w:szCs w:val="16"/>
        </w:rPr>
        <w:footnoteRef/>
      </w:r>
      <w:r w:rsidRPr="0080076B">
        <w:rPr>
          <w:rFonts w:asciiTheme="minorHAnsi" w:hAnsiTheme="minorHAnsi" w:cstheme="minorHAnsi"/>
          <w:sz w:val="16"/>
          <w:szCs w:val="16"/>
        </w:rPr>
        <w:t xml:space="preserve"> Experimental data on incomes of residents (which </w:t>
      </w:r>
      <w:r>
        <w:rPr>
          <w:rFonts w:asciiTheme="minorHAnsi" w:hAnsiTheme="minorHAnsi" w:cstheme="minorHAnsi"/>
          <w:sz w:val="16"/>
          <w:szCs w:val="16"/>
        </w:rPr>
        <w:t xml:space="preserve">includes wages, pensions, </w:t>
      </w:r>
      <w:r w:rsidRPr="0080076B">
        <w:rPr>
          <w:rFonts w:asciiTheme="minorHAnsi" w:hAnsiTheme="minorHAnsi" w:cstheme="minorHAnsi"/>
          <w:sz w:val="16"/>
          <w:szCs w:val="16"/>
        </w:rPr>
        <w:t>benefits and other income) released by the ONS</w:t>
      </w:r>
    </w:p>
  </w:footnote>
  <w:footnote w:id="4">
    <w:p w:rsidR="00CA65DC" w:rsidRPr="00CA65DC" w:rsidRDefault="00CA65DC">
      <w:pPr>
        <w:pStyle w:val="FootnoteText"/>
        <w:rPr>
          <w:sz w:val="16"/>
          <w:szCs w:val="16"/>
        </w:rPr>
      </w:pPr>
      <w:r w:rsidRPr="00CA65DC">
        <w:rPr>
          <w:rStyle w:val="FootnoteReference"/>
          <w:sz w:val="16"/>
          <w:szCs w:val="16"/>
        </w:rPr>
        <w:footnoteRef/>
      </w:r>
      <w:r w:rsidRPr="00CA65DC">
        <w:rPr>
          <w:sz w:val="16"/>
          <w:szCs w:val="16"/>
        </w:rPr>
        <w:t xml:space="preserve"> Brighton &amp; Hove includes </w:t>
      </w:r>
      <w:proofErr w:type="spellStart"/>
      <w:r w:rsidRPr="00CA65DC">
        <w:rPr>
          <w:sz w:val="16"/>
          <w:szCs w:val="16"/>
        </w:rPr>
        <w:t>Adur</w:t>
      </w:r>
      <w:proofErr w:type="spellEnd"/>
      <w:r w:rsidRPr="00CA65DC">
        <w:rPr>
          <w:sz w:val="16"/>
          <w:szCs w:val="16"/>
        </w:rPr>
        <w:t xml:space="preserve"> in Cities Outlook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8E" w:rsidRDefault="00D12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85503" o:spid="_x0000_s2050" type="#_x0000_t136" style="position:absolute;margin-left:0;margin-top:0;width:489.45pt;height:146.8pt;rotation:315;z-index:-251655168;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198E" w:rsidRDefault="00D121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485502" o:spid="_x0000_s2049" type="#_x0000_t136" style="position:absolute;margin-left:0;margin-top:0;width:489.45pt;height:146.8pt;rotation:315;z-index:-251657216;mso-position-horizontal:center;mso-position-horizontal-relative:margin;mso-position-vertical:center;mso-position-vertical-relative:margin" o:allowincell="f" fillcolor="silver" stroked="f">
          <v:fill opacity=".5"/>
          <v:textpath style="font-family:&quot;Calibri&quot;;font-size:1pt" string="EMBARGO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CC3D7D"/>
    <w:multiLevelType w:val="hybridMultilevel"/>
    <w:tmpl w:val="5C2ED5A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1">
    <w:nsid w:val="3A522604"/>
    <w:multiLevelType w:val="hybridMultilevel"/>
    <w:tmpl w:val="EC4CAE3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
    <w:nsid w:val="4BCC2712"/>
    <w:multiLevelType w:val="hybridMultilevel"/>
    <w:tmpl w:val="1AAC9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645E28C7"/>
    <w:multiLevelType w:val="hybridMultilevel"/>
    <w:tmpl w:val="D2D0F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B6F5F06"/>
    <w:multiLevelType w:val="hybridMultilevel"/>
    <w:tmpl w:val="F73EA85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5">
    <w:nsid w:val="7FBC307C"/>
    <w:multiLevelType w:val="hybridMultilevel"/>
    <w:tmpl w:val="691E05E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num w:numId="1">
    <w:abstractNumId w:val="4"/>
  </w:num>
  <w:num w:numId="2">
    <w:abstractNumId w:val="1"/>
  </w:num>
  <w:num w:numId="3">
    <w:abstractNumId w:val="0"/>
  </w:num>
  <w:num w:numId="4">
    <w:abstractNumId w:val="3"/>
  </w:num>
  <w:num w:numId="5">
    <w:abstractNumId w:val="0"/>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AC4"/>
    <w:rsid w:val="00063B45"/>
    <w:rsid w:val="00097E74"/>
    <w:rsid w:val="000B50F9"/>
    <w:rsid w:val="000B518E"/>
    <w:rsid w:val="000C3CFB"/>
    <w:rsid w:val="00146AB2"/>
    <w:rsid w:val="00185485"/>
    <w:rsid w:val="00195A73"/>
    <w:rsid w:val="001E01F1"/>
    <w:rsid w:val="001F3A6E"/>
    <w:rsid w:val="002172F7"/>
    <w:rsid w:val="002217A7"/>
    <w:rsid w:val="002D7544"/>
    <w:rsid w:val="00315666"/>
    <w:rsid w:val="0031714F"/>
    <w:rsid w:val="00332BA2"/>
    <w:rsid w:val="003704B4"/>
    <w:rsid w:val="00426EEA"/>
    <w:rsid w:val="004409B3"/>
    <w:rsid w:val="004B050E"/>
    <w:rsid w:val="00526B49"/>
    <w:rsid w:val="005B1439"/>
    <w:rsid w:val="005D639C"/>
    <w:rsid w:val="0064476A"/>
    <w:rsid w:val="00671380"/>
    <w:rsid w:val="006C6AAE"/>
    <w:rsid w:val="006F40BA"/>
    <w:rsid w:val="00747177"/>
    <w:rsid w:val="0079495A"/>
    <w:rsid w:val="0080076B"/>
    <w:rsid w:val="00834ED0"/>
    <w:rsid w:val="00890830"/>
    <w:rsid w:val="00974AC4"/>
    <w:rsid w:val="00975DE2"/>
    <w:rsid w:val="009F3189"/>
    <w:rsid w:val="00A41F5D"/>
    <w:rsid w:val="00AA4A08"/>
    <w:rsid w:val="00B217C7"/>
    <w:rsid w:val="00C0198E"/>
    <w:rsid w:val="00C74F27"/>
    <w:rsid w:val="00CA65DC"/>
    <w:rsid w:val="00CE1B0B"/>
    <w:rsid w:val="00CE65A0"/>
    <w:rsid w:val="00D121C1"/>
    <w:rsid w:val="00D87FFA"/>
    <w:rsid w:val="00DA3B2F"/>
    <w:rsid w:val="00E60622"/>
    <w:rsid w:val="00E74A01"/>
    <w:rsid w:val="00ED58FC"/>
    <w:rsid w:val="00EE1547"/>
    <w:rsid w:val="00EF08ED"/>
    <w:rsid w:val="00EF679A"/>
    <w:rsid w:val="00F3513D"/>
    <w:rsid w:val="00F84B63"/>
    <w:rsid w:val="00FA6A77"/>
    <w:rsid w:val="00FD3A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AC4"/>
    <w:rPr>
      <w:color w:val="0000FF"/>
      <w:u w:val="single"/>
    </w:rPr>
  </w:style>
  <w:style w:type="paragraph" w:styleId="ListParagraph">
    <w:name w:val="List Paragraph"/>
    <w:basedOn w:val="Normal"/>
    <w:uiPriority w:val="34"/>
    <w:qFormat/>
    <w:rsid w:val="00974AC4"/>
    <w:pPr>
      <w:ind w:left="720"/>
      <w:contextualSpacing/>
    </w:pPr>
  </w:style>
  <w:style w:type="paragraph" w:styleId="FootnoteText">
    <w:name w:val="footnote text"/>
    <w:basedOn w:val="Normal"/>
    <w:link w:val="FootnoteTextChar"/>
    <w:uiPriority w:val="99"/>
    <w:semiHidden/>
    <w:unhideWhenUsed/>
    <w:rsid w:val="00EF08ED"/>
    <w:rPr>
      <w:sz w:val="20"/>
      <w:szCs w:val="20"/>
    </w:rPr>
  </w:style>
  <w:style w:type="character" w:customStyle="1" w:styleId="FootnoteTextChar">
    <w:name w:val="Footnote Text Char"/>
    <w:basedOn w:val="DefaultParagraphFont"/>
    <w:link w:val="FootnoteText"/>
    <w:uiPriority w:val="99"/>
    <w:semiHidden/>
    <w:rsid w:val="00EF08ED"/>
    <w:rPr>
      <w:rFonts w:ascii="Calibri" w:hAnsi="Calibri" w:cs="Calibri"/>
      <w:sz w:val="20"/>
      <w:szCs w:val="20"/>
    </w:rPr>
  </w:style>
  <w:style w:type="character" w:styleId="FootnoteReference">
    <w:name w:val="footnote reference"/>
    <w:basedOn w:val="DefaultParagraphFont"/>
    <w:uiPriority w:val="99"/>
    <w:semiHidden/>
    <w:unhideWhenUsed/>
    <w:rsid w:val="00EF08ED"/>
    <w:rPr>
      <w:vertAlign w:val="superscript"/>
    </w:rPr>
  </w:style>
  <w:style w:type="paragraph" w:styleId="Header">
    <w:name w:val="header"/>
    <w:basedOn w:val="Normal"/>
    <w:link w:val="HeaderChar"/>
    <w:uiPriority w:val="99"/>
    <w:unhideWhenUsed/>
    <w:rsid w:val="002172F7"/>
    <w:pPr>
      <w:tabs>
        <w:tab w:val="center" w:pos="4513"/>
        <w:tab w:val="right" w:pos="9026"/>
      </w:tabs>
    </w:pPr>
  </w:style>
  <w:style w:type="character" w:customStyle="1" w:styleId="HeaderChar">
    <w:name w:val="Header Char"/>
    <w:basedOn w:val="DefaultParagraphFont"/>
    <w:link w:val="Header"/>
    <w:uiPriority w:val="99"/>
    <w:rsid w:val="002172F7"/>
    <w:rPr>
      <w:rFonts w:ascii="Calibri" w:hAnsi="Calibri" w:cs="Calibri"/>
    </w:rPr>
  </w:style>
  <w:style w:type="paragraph" w:styleId="Footer">
    <w:name w:val="footer"/>
    <w:basedOn w:val="Normal"/>
    <w:link w:val="FooterChar"/>
    <w:uiPriority w:val="99"/>
    <w:unhideWhenUsed/>
    <w:rsid w:val="002172F7"/>
    <w:pPr>
      <w:tabs>
        <w:tab w:val="center" w:pos="4513"/>
        <w:tab w:val="right" w:pos="9026"/>
      </w:tabs>
    </w:pPr>
  </w:style>
  <w:style w:type="character" w:customStyle="1" w:styleId="FooterChar">
    <w:name w:val="Footer Char"/>
    <w:basedOn w:val="DefaultParagraphFont"/>
    <w:link w:val="Footer"/>
    <w:uiPriority w:val="99"/>
    <w:rsid w:val="002172F7"/>
    <w:rPr>
      <w:rFonts w:ascii="Calibri" w:hAnsi="Calibri" w:cs="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AC4"/>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74AC4"/>
    <w:rPr>
      <w:color w:val="0000FF"/>
      <w:u w:val="single"/>
    </w:rPr>
  </w:style>
  <w:style w:type="paragraph" w:styleId="ListParagraph">
    <w:name w:val="List Paragraph"/>
    <w:basedOn w:val="Normal"/>
    <w:uiPriority w:val="34"/>
    <w:qFormat/>
    <w:rsid w:val="00974AC4"/>
    <w:pPr>
      <w:ind w:left="720"/>
      <w:contextualSpacing/>
    </w:pPr>
  </w:style>
  <w:style w:type="paragraph" w:styleId="FootnoteText">
    <w:name w:val="footnote text"/>
    <w:basedOn w:val="Normal"/>
    <w:link w:val="FootnoteTextChar"/>
    <w:uiPriority w:val="99"/>
    <w:semiHidden/>
    <w:unhideWhenUsed/>
    <w:rsid w:val="00EF08ED"/>
    <w:rPr>
      <w:sz w:val="20"/>
      <w:szCs w:val="20"/>
    </w:rPr>
  </w:style>
  <w:style w:type="character" w:customStyle="1" w:styleId="FootnoteTextChar">
    <w:name w:val="Footnote Text Char"/>
    <w:basedOn w:val="DefaultParagraphFont"/>
    <w:link w:val="FootnoteText"/>
    <w:uiPriority w:val="99"/>
    <w:semiHidden/>
    <w:rsid w:val="00EF08ED"/>
    <w:rPr>
      <w:rFonts w:ascii="Calibri" w:hAnsi="Calibri" w:cs="Calibri"/>
      <w:sz w:val="20"/>
      <w:szCs w:val="20"/>
    </w:rPr>
  </w:style>
  <w:style w:type="character" w:styleId="FootnoteReference">
    <w:name w:val="footnote reference"/>
    <w:basedOn w:val="DefaultParagraphFont"/>
    <w:uiPriority w:val="99"/>
    <w:semiHidden/>
    <w:unhideWhenUsed/>
    <w:rsid w:val="00EF08ED"/>
    <w:rPr>
      <w:vertAlign w:val="superscript"/>
    </w:rPr>
  </w:style>
  <w:style w:type="paragraph" w:styleId="Header">
    <w:name w:val="header"/>
    <w:basedOn w:val="Normal"/>
    <w:link w:val="HeaderChar"/>
    <w:uiPriority w:val="99"/>
    <w:unhideWhenUsed/>
    <w:rsid w:val="002172F7"/>
    <w:pPr>
      <w:tabs>
        <w:tab w:val="center" w:pos="4513"/>
        <w:tab w:val="right" w:pos="9026"/>
      </w:tabs>
    </w:pPr>
  </w:style>
  <w:style w:type="character" w:customStyle="1" w:styleId="HeaderChar">
    <w:name w:val="Header Char"/>
    <w:basedOn w:val="DefaultParagraphFont"/>
    <w:link w:val="Header"/>
    <w:uiPriority w:val="99"/>
    <w:rsid w:val="002172F7"/>
    <w:rPr>
      <w:rFonts w:ascii="Calibri" w:hAnsi="Calibri" w:cs="Calibri"/>
    </w:rPr>
  </w:style>
  <w:style w:type="paragraph" w:styleId="Footer">
    <w:name w:val="footer"/>
    <w:basedOn w:val="Normal"/>
    <w:link w:val="FooterChar"/>
    <w:uiPriority w:val="99"/>
    <w:unhideWhenUsed/>
    <w:rsid w:val="002172F7"/>
    <w:pPr>
      <w:tabs>
        <w:tab w:val="center" w:pos="4513"/>
        <w:tab w:val="right" w:pos="9026"/>
      </w:tabs>
    </w:pPr>
  </w:style>
  <w:style w:type="character" w:customStyle="1" w:styleId="FooterChar">
    <w:name w:val="Footer Char"/>
    <w:basedOn w:val="DefaultParagraphFont"/>
    <w:link w:val="Footer"/>
    <w:uiPriority w:val="99"/>
    <w:rsid w:val="002172F7"/>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338093">
      <w:bodyDiv w:val="1"/>
      <w:marLeft w:val="0"/>
      <w:marRight w:val="0"/>
      <w:marTop w:val="0"/>
      <w:marBottom w:val="0"/>
      <w:divBdr>
        <w:top w:val="none" w:sz="0" w:space="0" w:color="auto"/>
        <w:left w:val="none" w:sz="0" w:space="0" w:color="auto"/>
        <w:bottom w:val="none" w:sz="0" w:space="0" w:color="auto"/>
        <w:right w:val="none" w:sz="0" w:space="0" w:color="auto"/>
      </w:divBdr>
    </w:div>
    <w:div w:id="1057313123">
      <w:bodyDiv w:val="1"/>
      <w:marLeft w:val="0"/>
      <w:marRight w:val="0"/>
      <w:marTop w:val="0"/>
      <w:marBottom w:val="0"/>
      <w:divBdr>
        <w:top w:val="none" w:sz="0" w:space="0" w:color="auto"/>
        <w:left w:val="none" w:sz="0" w:space="0" w:color="auto"/>
        <w:bottom w:val="none" w:sz="0" w:space="0" w:color="auto"/>
        <w:right w:val="none" w:sz="0" w:space="0" w:color="auto"/>
      </w:divBdr>
    </w:div>
    <w:div w:id="189604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A98490-80E3-460A-9E27-AC272600F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1451</Words>
  <Characters>8273</Characters>
  <Application>Microsoft Office Word</Application>
  <DocSecurity>4</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Brighton &amp; Hove City Council</Company>
  <LinksUpToDate>false</LinksUpToDate>
  <CharactersWithSpaces>9705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Cadman</dc:creator>
  <cp:lastModifiedBy>Elizabeth Cadman</cp:lastModifiedBy>
  <cp:revision>2</cp:revision>
  <dcterms:created xsi:type="dcterms:W3CDTF">2018-01-30T12:39:00Z</dcterms:created>
  <dcterms:modified xsi:type="dcterms:W3CDTF">2018-01-30T12:39:00Z</dcterms:modified>
</cp:coreProperties>
</file>