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F9C" w:rsidRPr="005E4983" w:rsidRDefault="000B2BE4">
      <w:pPr>
        <w:rPr>
          <w:rFonts w:ascii="Georgia" w:hAnsi="Georgia"/>
          <w:b/>
          <w:sz w:val="32"/>
          <w:szCs w:val="32"/>
        </w:rPr>
      </w:pPr>
      <w:bookmarkStart w:id="0" w:name="_GoBack"/>
      <w:bookmarkEnd w:id="0"/>
      <w:r w:rsidRPr="005E4983">
        <w:rPr>
          <w:rFonts w:ascii="Georgia" w:hAnsi="Georgia"/>
          <w:b/>
          <w:sz w:val="32"/>
          <w:szCs w:val="32"/>
        </w:rPr>
        <w:t>Adult Social Care Workforce Strategy</w:t>
      </w:r>
    </w:p>
    <w:p w:rsidR="000B2BE4" w:rsidRPr="005E4983" w:rsidRDefault="000B2BE4">
      <w:pPr>
        <w:rPr>
          <w:rFonts w:ascii="Georgia" w:hAnsi="Georgia" w:cs="Arial"/>
          <w:b/>
          <w:sz w:val="28"/>
          <w:szCs w:val="28"/>
        </w:rPr>
      </w:pPr>
      <w:r w:rsidRPr="005E4983">
        <w:rPr>
          <w:rFonts w:ascii="Georgia" w:hAnsi="Georgia" w:cs="Arial"/>
          <w:b/>
          <w:sz w:val="28"/>
          <w:szCs w:val="28"/>
        </w:rPr>
        <w:t>Introduction</w:t>
      </w:r>
    </w:p>
    <w:p w:rsidR="00116780" w:rsidRDefault="000B2BE4">
      <w:pPr>
        <w:rPr>
          <w:rFonts w:ascii="Arial" w:hAnsi="Arial" w:cs="Arial"/>
          <w:sz w:val="24"/>
          <w:szCs w:val="24"/>
        </w:rPr>
      </w:pPr>
      <w:r>
        <w:rPr>
          <w:rFonts w:ascii="Arial" w:hAnsi="Arial" w:cs="Arial"/>
          <w:sz w:val="24"/>
          <w:szCs w:val="24"/>
        </w:rPr>
        <w:t>Adult social care is in an era of exc</w:t>
      </w:r>
      <w:r w:rsidR="00431DC6">
        <w:rPr>
          <w:rFonts w:ascii="Arial" w:hAnsi="Arial" w:cs="Arial"/>
          <w:sz w:val="24"/>
          <w:szCs w:val="24"/>
        </w:rPr>
        <w:t>eptional change</w:t>
      </w:r>
      <w:r w:rsidR="00116780">
        <w:rPr>
          <w:rFonts w:ascii="Arial" w:hAnsi="Arial" w:cs="Arial"/>
          <w:sz w:val="24"/>
          <w:szCs w:val="24"/>
        </w:rPr>
        <w:t xml:space="preserve"> and challenge, some of these challenges are known – the need to provide clear information to citizens</w:t>
      </w:r>
      <w:r w:rsidR="007872EF">
        <w:rPr>
          <w:rFonts w:ascii="Arial" w:hAnsi="Arial" w:cs="Arial"/>
          <w:sz w:val="24"/>
          <w:szCs w:val="24"/>
        </w:rPr>
        <w:t>,</w:t>
      </w:r>
      <w:r w:rsidR="00116780">
        <w:rPr>
          <w:rFonts w:ascii="Arial" w:hAnsi="Arial" w:cs="Arial"/>
          <w:sz w:val="24"/>
          <w:szCs w:val="24"/>
        </w:rPr>
        <w:t xml:space="preserve"> increasing demand and reducing budgets</w:t>
      </w:r>
      <w:r w:rsidR="007872EF">
        <w:rPr>
          <w:rFonts w:ascii="Arial" w:hAnsi="Arial" w:cs="Arial"/>
          <w:sz w:val="24"/>
          <w:szCs w:val="24"/>
        </w:rPr>
        <w:t>. S</w:t>
      </w:r>
      <w:r w:rsidR="00116780">
        <w:rPr>
          <w:rFonts w:ascii="Arial" w:hAnsi="Arial" w:cs="Arial"/>
          <w:sz w:val="24"/>
          <w:szCs w:val="24"/>
        </w:rPr>
        <w:t>ome challenges are yet to be fully understood – resilience of the provider market following the announcement of the National Living Wage and the impacts this may have on recruitment and retention difficulties, new roles, delivery models, and emerging technologies.</w:t>
      </w:r>
    </w:p>
    <w:p w:rsidR="00116780" w:rsidRDefault="00D655F6">
      <w:pPr>
        <w:rPr>
          <w:rFonts w:ascii="Arial" w:hAnsi="Arial" w:cs="Arial"/>
          <w:sz w:val="24"/>
          <w:szCs w:val="24"/>
        </w:rPr>
      </w:pPr>
      <w:r>
        <w:rPr>
          <w:rFonts w:ascii="Arial" w:hAnsi="Arial" w:cs="Arial"/>
          <w:sz w:val="24"/>
          <w:szCs w:val="24"/>
        </w:rPr>
        <w:t xml:space="preserve">This </w:t>
      </w:r>
      <w:r w:rsidR="00431DC6">
        <w:rPr>
          <w:rFonts w:ascii="Arial" w:hAnsi="Arial" w:cs="Arial"/>
          <w:sz w:val="24"/>
          <w:szCs w:val="24"/>
        </w:rPr>
        <w:t xml:space="preserve">strategy </w:t>
      </w:r>
      <w:r w:rsidR="00116780">
        <w:rPr>
          <w:rFonts w:ascii="Arial" w:hAnsi="Arial" w:cs="Arial"/>
          <w:sz w:val="24"/>
          <w:szCs w:val="24"/>
        </w:rPr>
        <w:t xml:space="preserve">draws on information that we know nationally and locally to assess </w:t>
      </w:r>
      <w:r w:rsidR="00431DC6">
        <w:rPr>
          <w:rFonts w:ascii="Arial" w:hAnsi="Arial" w:cs="Arial"/>
          <w:sz w:val="24"/>
          <w:szCs w:val="24"/>
        </w:rPr>
        <w:t xml:space="preserve">the contextual factors impacting on adult social care </w:t>
      </w:r>
      <w:r w:rsidR="00116780">
        <w:rPr>
          <w:rFonts w:ascii="Arial" w:hAnsi="Arial" w:cs="Arial"/>
          <w:sz w:val="24"/>
          <w:szCs w:val="24"/>
        </w:rPr>
        <w:t xml:space="preserve">and </w:t>
      </w:r>
      <w:r w:rsidR="00431DC6">
        <w:rPr>
          <w:rFonts w:ascii="Arial" w:hAnsi="Arial" w:cs="Arial"/>
          <w:sz w:val="24"/>
          <w:szCs w:val="24"/>
        </w:rPr>
        <w:t xml:space="preserve">the implications for </w:t>
      </w:r>
      <w:r w:rsidR="00116780">
        <w:rPr>
          <w:rFonts w:ascii="Arial" w:hAnsi="Arial" w:cs="Arial"/>
          <w:sz w:val="24"/>
          <w:szCs w:val="24"/>
        </w:rPr>
        <w:t>our local</w:t>
      </w:r>
      <w:r w:rsidR="002C0C41">
        <w:rPr>
          <w:rFonts w:ascii="Arial" w:hAnsi="Arial" w:cs="Arial"/>
          <w:sz w:val="24"/>
          <w:szCs w:val="24"/>
        </w:rPr>
        <w:t xml:space="preserve"> workforce, which will be crucial in delivering the change.</w:t>
      </w:r>
      <w:r w:rsidR="00431DC6">
        <w:rPr>
          <w:rFonts w:ascii="Arial" w:hAnsi="Arial" w:cs="Arial"/>
          <w:sz w:val="24"/>
          <w:szCs w:val="24"/>
        </w:rPr>
        <w:t xml:space="preserve"> </w:t>
      </w:r>
    </w:p>
    <w:p w:rsidR="007872EF" w:rsidRDefault="007872EF">
      <w:pPr>
        <w:rPr>
          <w:rFonts w:ascii="Arial" w:hAnsi="Arial" w:cs="Arial"/>
          <w:sz w:val="24"/>
          <w:szCs w:val="24"/>
        </w:rPr>
      </w:pPr>
      <w:r>
        <w:rPr>
          <w:rFonts w:ascii="Arial" w:hAnsi="Arial" w:cs="Arial"/>
          <w:sz w:val="24"/>
          <w:szCs w:val="24"/>
        </w:rPr>
        <w:t>Finally, this is drawn together within a series of strategic themes and associated actions to form a programme of activities to address the challenges we face.</w:t>
      </w:r>
    </w:p>
    <w:p w:rsidR="000E547A" w:rsidRPr="007872EF" w:rsidRDefault="006D6F15">
      <w:pPr>
        <w:rPr>
          <w:rFonts w:ascii="Arial" w:hAnsi="Arial" w:cs="Arial"/>
          <w:b/>
          <w:sz w:val="28"/>
          <w:szCs w:val="28"/>
        </w:rPr>
      </w:pPr>
      <w:r w:rsidRPr="007872EF">
        <w:rPr>
          <w:rFonts w:ascii="Arial" w:hAnsi="Arial" w:cs="Arial"/>
          <w:sz w:val="24"/>
          <w:szCs w:val="24"/>
        </w:rPr>
        <w:t xml:space="preserve"> </w:t>
      </w:r>
      <w:r w:rsidR="000E547A" w:rsidRPr="007872EF">
        <w:rPr>
          <w:rFonts w:ascii="Arial" w:hAnsi="Arial" w:cs="Arial"/>
          <w:b/>
          <w:sz w:val="28"/>
          <w:szCs w:val="28"/>
        </w:rPr>
        <w:t>Scope of the strategy</w:t>
      </w:r>
    </w:p>
    <w:p w:rsidR="00F37799" w:rsidRDefault="0073362F" w:rsidP="00F37799">
      <w:pPr>
        <w:rPr>
          <w:rFonts w:ascii="Arial" w:hAnsi="Arial" w:cs="Arial"/>
          <w:sz w:val="24"/>
          <w:szCs w:val="24"/>
        </w:rPr>
      </w:pPr>
      <w:r>
        <w:rPr>
          <w:rFonts w:ascii="Arial" w:hAnsi="Arial" w:cs="Arial"/>
          <w:sz w:val="24"/>
          <w:szCs w:val="24"/>
        </w:rPr>
        <w:t>This</w:t>
      </w:r>
      <w:r w:rsidR="000E547A">
        <w:rPr>
          <w:rFonts w:ascii="Arial" w:hAnsi="Arial" w:cs="Arial"/>
          <w:sz w:val="24"/>
          <w:szCs w:val="24"/>
        </w:rPr>
        <w:t xml:space="preserve"> strategy covers all adult social care services in the city</w:t>
      </w:r>
      <w:r w:rsidR="00F37799">
        <w:rPr>
          <w:rStyle w:val="FootnoteReference"/>
          <w:rFonts w:ascii="Arial" w:hAnsi="Arial" w:cs="Arial"/>
          <w:sz w:val="24"/>
          <w:szCs w:val="24"/>
        </w:rPr>
        <w:footnoteReference w:id="1"/>
      </w:r>
      <w:r w:rsidR="00F37799">
        <w:rPr>
          <w:rFonts w:ascii="Arial" w:hAnsi="Arial" w:cs="Arial"/>
          <w:sz w:val="24"/>
          <w:szCs w:val="24"/>
        </w:rPr>
        <w:t xml:space="preserve"> including:</w:t>
      </w:r>
    </w:p>
    <w:p w:rsidR="00F37799" w:rsidRDefault="00F37799" w:rsidP="00F37799">
      <w:pPr>
        <w:pStyle w:val="ListParagraph"/>
        <w:numPr>
          <w:ilvl w:val="0"/>
          <w:numId w:val="26"/>
        </w:numPr>
        <w:rPr>
          <w:rFonts w:ascii="Arial" w:hAnsi="Arial" w:cs="Arial"/>
          <w:sz w:val="24"/>
          <w:szCs w:val="24"/>
        </w:rPr>
      </w:pPr>
      <w:r>
        <w:rPr>
          <w:rFonts w:ascii="Arial" w:hAnsi="Arial" w:cs="Arial"/>
          <w:sz w:val="24"/>
          <w:szCs w:val="24"/>
        </w:rPr>
        <w:t>Assessment services</w:t>
      </w:r>
    </w:p>
    <w:p w:rsidR="00F37799" w:rsidRDefault="00F37799" w:rsidP="00F37799">
      <w:pPr>
        <w:pStyle w:val="ListParagraph"/>
        <w:numPr>
          <w:ilvl w:val="0"/>
          <w:numId w:val="26"/>
        </w:numPr>
        <w:rPr>
          <w:rFonts w:ascii="Arial" w:hAnsi="Arial" w:cs="Arial"/>
          <w:sz w:val="24"/>
          <w:szCs w:val="24"/>
        </w:rPr>
      </w:pPr>
      <w:r>
        <w:rPr>
          <w:rFonts w:ascii="Arial" w:hAnsi="Arial" w:cs="Arial"/>
          <w:sz w:val="24"/>
          <w:szCs w:val="24"/>
        </w:rPr>
        <w:t>Provider services</w:t>
      </w:r>
      <w:r w:rsidR="00D86A3F">
        <w:rPr>
          <w:rFonts w:ascii="Arial" w:hAnsi="Arial" w:cs="Arial"/>
          <w:sz w:val="24"/>
          <w:szCs w:val="24"/>
        </w:rPr>
        <w:t xml:space="preserve"> including personal assistants</w:t>
      </w:r>
    </w:p>
    <w:p w:rsidR="00F37799" w:rsidRPr="00F37799" w:rsidRDefault="00F37799" w:rsidP="00F37799">
      <w:pPr>
        <w:pStyle w:val="ListParagraph"/>
        <w:numPr>
          <w:ilvl w:val="0"/>
          <w:numId w:val="26"/>
        </w:numPr>
        <w:rPr>
          <w:rFonts w:ascii="Arial" w:hAnsi="Arial" w:cs="Arial"/>
          <w:sz w:val="24"/>
          <w:szCs w:val="24"/>
        </w:rPr>
      </w:pPr>
      <w:r>
        <w:rPr>
          <w:rFonts w:ascii="Arial" w:hAnsi="Arial" w:cs="Arial"/>
          <w:sz w:val="24"/>
          <w:szCs w:val="24"/>
        </w:rPr>
        <w:t xml:space="preserve">Social care services provided </w:t>
      </w:r>
      <w:r w:rsidR="00D86A3F">
        <w:rPr>
          <w:rFonts w:ascii="Arial" w:hAnsi="Arial" w:cs="Arial"/>
          <w:sz w:val="24"/>
          <w:szCs w:val="24"/>
        </w:rPr>
        <w:t>directly</w:t>
      </w:r>
      <w:r>
        <w:rPr>
          <w:rFonts w:ascii="Arial" w:hAnsi="Arial" w:cs="Arial"/>
          <w:sz w:val="24"/>
          <w:szCs w:val="24"/>
        </w:rPr>
        <w:t xml:space="preserve"> by Brighton </w:t>
      </w:r>
    </w:p>
    <w:p w:rsidR="004F5F53" w:rsidRPr="00F026D5" w:rsidRDefault="00431DC6">
      <w:pPr>
        <w:rPr>
          <w:rFonts w:ascii="Arial" w:hAnsi="Arial" w:cs="Arial"/>
          <w:b/>
          <w:sz w:val="28"/>
          <w:szCs w:val="28"/>
        </w:rPr>
      </w:pPr>
      <w:r w:rsidRPr="00F026D5">
        <w:rPr>
          <w:rFonts w:ascii="Arial" w:hAnsi="Arial" w:cs="Arial"/>
          <w:b/>
          <w:sz w:val="28"/>
          <w:szCs w:val="28"/>
        </w:rPr>
        <w:t>What we know</w:t>
      </w:r>
    </w:p>
    <w:p w:rsidR="005B4939" w:rsidRPr="00A7776D" w:rsidRDefault="002C4A2E" w:rsidP="005B4939">
      <w:pPr>
        <w:rPr>
          <w:rFonts w:ascii="Arial" w:hAnsi="Arial" w:cs="Arial"/>
          <w:b/>
          <w:sz w:val="24"/>
          <w:szCs w:val="24"/>
        </w:rPr>
      </w:pPr>
      <w:r>
        <w:rPr>
          <w:rFonts w:ascii="Arial" w:hAnsi="Arial" w:cs="Arial"/>
          <w:b/>
          <w:sz w:val="24"/>
          <w:szCs w:val="24"/>
        </w:rPr>
        <w:t>The demographic outlook</w:t>
      </w:r>
    </w:p>
    <w:p w:rsidR="00AC3F64" w:rsidRPr="00AC3F64" w:rsidRDefault="00AC3F64" w:rsidP="00AC3F64">
      <w:pPr>
        <w:pStyle w:val="ListParagraph"/>
        <w:ind w:left="0"/>
        <w:rPr>
          <w:rFonts w:ascii="Arial" w:hAnsi="Arial" w:cs="Arial"/>
          <w:b/>
          <w:color w:val="000000" w:themeColor="text1"/>
          <w:sz w:val="24"/>
          <w:szCs w:val="24"/>
        </w:rPr>
      </w:pPr>
      <w:r w:rsidRPr="00AC3F64">
        <w:rPr>
          <w:rFonts w:ascii="Arial" w:hAnsi="Arial" w:cs="Arial"/>
          <w:b/>
          <w:color w:val="000000" w:themeColor="text1"/>
          <w:sz w:val="24"/>
          <w:szCs w:val="24"/>
        </w:rPr>
        <w:t>Nationally</w:t>
      </w:r>
    </w:p>
    <w:p w:rsidR="00AC3F64" w:rsidRDefault="00AC3F64" w:rsidP="00AC3F64">
      <w:pPr>
        <w:pStyle w:val="ListParagraph"/>
        <w:ind w:left="1080"/>
        <w:rPr>
          <w:rFonts w:ascii="Arial" w:hAnsi="Arial" w:cs="Arial"/>
          <w:color w:val="000000" w:themeColor="text1"/>
          <w:sz w:val="24"/>
          <w:szCs w:val="24"/>
        </w:rPr>
      </w:pPr>
    </w:p>
    <w:p w:rsidR="00AC3F64" w:rsidRDefault="00AC3F64" w:rsidP="00AC3F64">
      <w:pPr>
        <w:pStyle w:val="ListParagraph"/>
        <w:numPr>
          <w:ilvl w:val="0"/>
          <w:numId w:val="4"/>
        </w:numPr>
        <w:rPr>
          <w:rFonts w:ascii="Arial" w:hAnsi="Arial" w:cs="Arial"/>
          <w:color w:val="000000" w:themeColor="text1"/>
          <w:sz w:val="24"/>
          <w:szCs w:val="24"/>
        </w:rPr>
      </w:pPr>
      <w:r w:rsidRPr="00AC3F64">
        <w:rPr>
          <w:rFonts w:ascii="Arial" w:hAnsi="Arial" w:cs="Arial"/>
          <w:color w:val="000000" w:themeColor="text1"/>
          <w:sz w:val="24"/>
          <w:szCs w:val="24"/>
        </w:rPr>
        <w:t>The prevalence of long-term conditions rises with age, affecting about 50 per cent of people aged 50, and 80 per cent of those aged 65.</w:t>
      </w:r>
    </w:p>
    <w:p w:rsidR="00AC3F64" w:rsidRPr="00A7776D" w:rsidRDefault="00AC3F64" w:rsidP="00AC3F64">
      <w:pPr>
        <w:pStyle w:val="ListParagraph"/>
        <w:numPr>
          <w:ilvl w:val="0"/>
          <w:numId w:val="4"/>
        </w:numPr>
      </w:pPr>
      <w:r w:rsidRPr="002D461F">
        <w:rPr>
          <w:rFonts w:ascii="Arial" w:hAnsi="Arial" w:cs="Arial"/>
          <w:sz w:val="24"/>
          <w:szCs w:val="24"/>
        </w:rPr>
        <w:t xml:space="preserve">Dementia is now the leading cause of death amongst women </w:t>
      </w:r>
      <w:r w:rsidRPr="002D461F">
        <w:rPr>
          <w:rFonts w:ascii="Arial" w:hAnsi="Arial" w:cs="Arial"/>
          <w:sz w:val="24"/>
          <w:szCs w:val="24"/>
          <w:vertAlign w:val="superscript"/>
        </w:rPr>
        <w:t>2</w:t>
      </w:r>
      <w:r w:rsidRPr="002D461F">
        <w:rPr>
          <w:rFonts w:ascii="Arial" w:hAnsi="Arial" w:cs="Arial"/>
          <w:sz w:val="24"/>
          <w:szCs w:val="24"/>
        </w:rPr>
        <w:t>.</w:t>
      </w:r>
    </w:p>
    <w:p w:rsidR="00AC3F64" w:rsidRPr="00A7776D" w:rsidRDefault="00AC3F64" w:rsidP="00AC3F64">
      <w:pPr>
        <w:pStyle w:val="ListParagraph"/>
        <w:numPr>
          <w:ilvl w:val="0"/>
          <w:numId w:val="4"/>
        </w:numPr>
      </w:pPr>
      <w:r>
        <w:rPr>
          <w:rFonts w:ascii="Arial" w:hAnsi="Arial" w:cs="Arial"/>
          <w:sz w:val="24"/>
          <w:szCs w:val="24"/>
        </w:rPr>
        <w:t>In 15 years’ time half the national population will be 65 years or older.</w:t>
      </w:r>
    </w:p>
    <w:p w:rsidR="00AC3F64" w:rsidRDefault="00AC3F64" w:rsidP="00AC3F64">
      <w:pPr>
        <w:pStyle w:val="ListParagraph"/>
        <w:numPr>
          <w:ilvl w:val="0"/>
          <w:numId w:val="4"/>
        </w:numPr>
      </w:pPr>
      <w:r>
        <w:rPr>
          <w:rFonts w:ascii="Arial" w:hAnsi="Arial" w:cs="Arial"/>
          <w:sz w:val="24"/>
          <w:szCs w:val="24"/>
        </w:rPr>
        <w:t>In 15 years’ time the number of people over 85 years is expected to double.</w:t>
      </w:r>
      <w:r>
        <w:rPr>
          <w:rFonts w:ascii="Arial" w:hAnsi="Arial" w:cs="Arial"/>
          <w:sz w:val="24"/>
          <w:szCs w:val="24"/>
          <w:vertAlign w:val="superscript"/>
        </w:rPr>
        <w:t>10</w:t>
      </w:r>
    </w:p>
    <w:p w:rsidR="00AC3F64" w:rsidRPr="00B95295" w:rsidRDefault="00AC3F64" w:rsidP="00AC3F64">
      <w:pPr>
        <w:rPr>
          <w:rFonts w:ascii="Arial" w:hAnsi="Arial" w:cs="Arial"/>
          <w:b/>
          <w:color w:val="000000" w:themeColor="text1"/>
          <w:sz w:val="24"/>
          <w:szCs w:val="24"/>
        </w:rPr>
      </w:pPr>
      <w:r w:rsidRPr="00B95295">
        <w:rPr>
          <w:rFonts w:ascii="Arial" w:hAnsi="Arial" w:cs="Arial"/>
          <w:b/>
          <w:color w:val="000000" w:themeColor="text1"/>
          <w:sz w:val="24"/>
          <w:szCs w:val="24"/>
        </w:rPr>
        <w:t>Locally</w:t>
      </w:r>
    </w:p>
    <w:p w:rsidR="005B4939" w:rsidRPr="00A7776D" w:rsidRDefault="005B4939" w:rsidP="00AC3F64">
      <w:pPr>
        <w:pStyle w:val="ListParagraph"/>
        <w:numPr>
          <w:ilvl w:val="0"/>
          <w:numId w:val="38"/>
        </w:numPr>
        <w:rPr>
          <w:sz w:val="24"/>
          <w:szCs w:val="24"/>
        </w:rPr>
      </w:pPr>
      <w:r w:rsidRPr="00745920">
        <w:rPr>
          <w:rFonts w:ascii="Arial" w:hAnsi="Arial" w:cs="Arial"/>
          <w:color w:val="000000" w:themeColor="text1"/>
          <w:sz w:val="24"/>
          <w:szCs w:val="24"/>
        </w:rPr>
        <w:t xml:space="preserve">Sixteen per cent of residents </w:t>
      </w:r>
      <w:r>
        <w:rPr>
          <w:rFonts w:ascii="Arial" w:hAnsi="Arial" w:cs="Arial"/>
          <w:color w:val="000000" w:themeColor="text1"/>
          <w:sz w:val="24"/>
          <w:szCs w:val="24"/>
        </w:rPr>
        <w:t xml:space="preserve">(i.e. 41,000 people) </w:t>
      </w:r>
      <w:r w:rsidRPr="00745920">
        <w:rPr>
          <w:rFonts w:ascii="Arial" w:hAnsi="Arial" w:cs="Arial"/>
          <w:color w:val="000000" w:themeColor="text1"/>
          <w:sz w:val="24"/>
          <w:szCs w:val="24"/>
        </w:rPr>
        <w:t>report that they are disabled or have a long term health problem that limits their day-to-day activities to some degree</w:t>
      </w:r>
      <w:r>
        <w:rPr>
          <w:rFonts w:ascii="Arial" w:hAnsi="Arial" w:cs="Arial"/>
          <w:sz w:val="24"/>
          <w:szCs w:val="24"/>
        </w:rPr>
        <w:t xml:space="preserve"> </w:t>
      </w:r>
      <w:r w:rsidRPr="00745920">
        <w:rPr>
          <w:rFonts w:ascii="Arial" w:hAnsi="Arial" w:cs="Arial"/>
          <w:sz w:val="24"/>
          <w:szCs w:val="24"/>
          <w:vertAlign w:val="superscript"/>
        </w:rPr>
        <w:t>8</w:t>
      </w:r>
    </w:p>
    <w:p w:rsidR="005B4939" w:rsidRDefault="005B4939" w:rsidP="005B4939">
      <w:pPr>
        <w:pStyle w:val="ListParagraph"/>
        <w:numPr>
          <w:ilvl w:val="0"/>
          <w:numId w:val="4"/>
        </w:numPr>
        <w:rPr>
          <w:rFonts w:ascii="Arial" w:hAnsi="Arial" w:cs="Arial"/>
          <w:sz w:val="24"/>
          <w:szCs w:val="24"/>
        </w:rPr>
      </w:pPr>
      <w:r w:rsidRPr="002D461F">
        <w:rPr>
          <w:rFonts w:ascii="Arial" w:hAnsi="Arial" w:cs="Arial"/>
          <w:sz w:val="24"/>
          <w:szCs w:val="24"/>
        </w:rPr>
        <w:lastRenderedPageBreak/>
        <w:t xml:space="preserve">There are 500 recipients of direct payments in Brighton &amp; Hove </w:t>
      </w:r>
      <w:r w:rsidRPr="002D461F">
        <w:rPr>
          <w:rFonts w:ascii="Arial" w:hAnsi="Arial" w:cs="Arial"/>
          <w:sz w:val="24"/>
          <w:szCs w:val="24"/>
          <w:vertAlign w:val="superscript"/>
        </w:rPr>
        <w:t>1</w:t>
      </w:r>
      <w:r w:rsidRPr="002D461F">
        <w:rPr>
          <w:rFonts w:ascii="Arial" w:hAnsi="Arial" w:cs="Arial"/>
          <w:sz w:val="24"/>
          <w:szCs w:val="24"/>
        </w:rPr>
        <w:t>, a number that is set to rise with an associated increase in the number of personal assistants.</w:t>
      </w:r>
    </w:p>
    <w:p w:rsidR="005B4939" w:rsidRDefault="005B4939" w:rsidP="005B4939">
      <w:pPr>
        <w:pStyle w:val="ListParagraph"/>
        <w:numPr>
          <w:ilvl w:val="0"/>
          <w:numId w:val="4"/>
        </w:numPr>
        <w:rPr>
          <w:rFonts w:ascii="Arial" w:hAnsi="Arial" w:cs="Arial"/>
          <w:sz w:val="24"/>
          <w:szCs w:val="24"/>
        </w:rPr>
      </w:pPr>
      <w:r w:rsidRPr="002D461F">
        <w:rPr>
          <w:rFonts w:ascii="Arial" w:hAnsi="Arial" w:cs="Arial"/>
          <w:sz w:val="24"/>
          <w:szCs w:val="24"/>
        </w:rPr>
        <w:t>There are an estimated 1,800 self-funders receiving care &amp; support in their own home or a care home</w:t>
      </w:r>
      <w:r w:rsidRPr="002D461F">
        <w:rPr>
          <w:rFonts w:ascii="Arial" w:hAnsi="Arial" w:cs="Arial"/>
          <w:sz w:val="24"/>
          <w:szCs w:val="24"/>
          <w:vertAlign w:val="superscript"/>
        </w:rPr>
        <w:t xml:space="preserve"> 3</w:t>
      </w:r>
      <w:r w:rsidRPr="002D461F">
        <w:rPr>
          <w:rFonts w:ascii="Arial" w:hAnsi="Arial" w:cs="Arial"/>
          <w:sz w:val="24"/>
          <w:szCs w:val="24"/>
        </w:rPr>
        <w:t xml:space="preserve">. </w:t>
      </w:r>
    </w:p>
    <w:p w:rsidR="005B4939" w:rsidRPr="00FD60C1" w:rsidRDefault="005B4939" w:rsidP="005B4939">
      <w:pPr>
        <w:rPr>
          <w:rFonts w:ascii="Arial" w:hAnsi="Arial" w:cs="Arial"/>
          <w:b/>
          <w:sz w:val="24"/>
          <w:szCs w:val="24"/>
        </w:rPr>
      </w:pPr>
      <w:r>
        <w:rPr>
          <w:rFonts w:ascii="Arial" w:hAnsi="Arial" w:cs="Arial"/>
          <w:b/>
          <w:sz w:val="24"/>
          <w:szCs w:val="24"/>
        </w:rPr>
        <w:t>The Funding C</w:t>
      </w:r>
      <w:r w:rsidRPr="00FD60C1">
        <w:rPr>
          <w:rFonts w:ascii="Arial" w:hAnsi="Arial" w:cs="Arial"/>
          <w:b/>
          <w:sz w:val="24"/>
          <w:szCs w:val="24"/>
        </w:rPr>
        <w:t>hallenge</w:t>
      </w:r>
    </w:p>
    <w:p w:rsidR="00B95295" w:rsidRPr="00B95295" w:rsidRDefault="00B95295" w:rsidP="00B95295">
      <w:pPr>
        <w:rPr>
          <w:rFonts w:ascii="Arial" w:hAnsi="Arial" w:cs="Arial"/>
          <w:b/>
          <w:sz w:val="24"/>
          <w:szCs w:val="24"/>
        </w:rPr>
      </w:pPr>
      <w:r w:rsidRPr="00B95295">
        <w:rPr>
          <w:rFonts w:ascii="Arial" w:hAnsi="Arial" w:cs="Arial"/>
          <w:b/>
          <w:sz w:val="24"/>
          <w:szCs w:val="24"/>
        </w:rPr>
        <w:t>Nationally</w:t>
      </w:r>
    </w:p>
    <w:p w:rsidR="00B95295" w:rsidRPr="00BE5F1A" w:rsidRDefault="00B95295" w:rsidP="00B95295">
      <w:pPr>
        <w:pStyle w:val="ListParagraph"/>
        <w:numPr>
          <w:ilvl w:val="0"/>
          <w:numId w:val="4"/>
        </w:numPr>
        <w:rPr>
          <w:rFonts w:ascii="Arial" w:hAnsi="Arial" w:cs="Arial"/>
          <w:sz w:val="24"/>
          <w:szCs w:val="24"/>
        </w:rPr>
      </w:pPr>
      <w:r w:rsidRPr="007D0C58">
        <w:rPr>
          <w:rFonts w:ascii="Arial" w:hAnsi="Arial" w:cs="Arial"/>
          <w:color w:val="000000"/>
          <w:sz w:val="24"/>
          <w:szCs w:val="24"/>
          <w:lang w:val="en"/>
        </w:rPr>
        <w:t>The new National Living Wage, for workers over the age of 25, will start at £7.20</w:t>
      </w:r>
      <w:r>
        <w:rPr>
          <w:rFonts w:ascii="Arial" w:hAnsi="Arial" w:cs="Arial"/>
          <w:color w:val="000000"/>
          <w:sz w:val="24"/>
          <w:szCs w:val="24"/>
          <w:lang w:val="en"/>
        </w:rPr>
        <w:t>ph</w:t>
      </w:r>
      <w:r w:rsidRPr="007D0C58">
        <w:rPr>
          <w:rFonts w:ascii="Arial" w:hAnsi="Arial" w:cs="Arial"/>
          <w:color w:val="000000"/>
          <w:sz w:val="24"/>
          <w:szCs w:val="24"/>
          <w:lang w:val="en"/>
        </w:rPr>
        <w:t xml:space="preserve"> from April </w:t>
      </w:r>
      <w:r>
        <w:rPr>
          <w:rFonts w:ascii="Arial" w:hAnsi="Arial" w:cs="Arial"/>
          <w:color w:val="000000"/>
          <w:sz w:val="24"/>
          <w:szCs w:val="24"/>
          <w:lang w:val="en"/>
        </w:rPr>
        <w:t xml:space="preserve">2016 </w:t>
      </w:r>
      <w:r w:rsidRPr="007D0C58">
        <w:rPr>
          <w:rFonts w:ascii="Arial" w:hAnsi="Arial" w:cs="Arial"/>
          <w:color w:val="000000"/>
          <w:sz w:val="24"/>
          <w:szCs w:val="24"/>
          <w:lang w:val="en"/>
        </w:rPr>
        <w:t>and rise to £9</w:t>
      </w:r>
      <w:r>
        <w:rPr>
          <w:rFonts w:ascii="Arial" w:hAnsi="Arial" w:cs="Arial"/>
          <w:color w:val="000000"/>
          <w:sz w:val="24"/>
          <w:szCs w:val="24"/>
          <w:lang w:val="en"/>
        </w:rPr>
        <w:t>ph</w:t>
      </w:r>
      <w:r w:rsidRPr="007D0C58">
        <w:rPr>
          <w:rFonts w:ascii="Arial" w:hAnsi="Arial" w:cs="Arial"/>
          <w:color w:val="000000"/>
          <w:sz w:val="24"/>
          <w:szCs w:val="24"/>
          <w:lang w:val="en"/>
        </w:rPr>
        <w:t xml:space="preserve"> by 2020</w:t>
      </w:r>
      <w:r>
        <w:rPr>
          <w:noProof/>
          <w:lang w:eastAsia="en-GB"/>
        </w:rPr>
        <w:t xml:space="preserve">. </w:t>
      </w:r>
      <w:r w:rsidRPr="00B65E06">
        <w:rPr>
          <w:rFonts w:ascii="Arial" w:hAnsi="Arial" w:cs="Arial"/>
          <w:noProof/>
          <w:sz w:val="24"/>
          <w:szCs w:val="24"/>
          <w:lang w:eastAsia="en-GB"/>
        </w:rPr>
        <w:t>This compares with the present minimum wage of £6.50</w:t>
      </w:r>
      <w:r>
        <w:rPr>
          <w:rFonts w:ascii="Arial" w:hAnsi="Arial" w:cs="Arial"/>
          <w:noProof/>
          <w:sz w:val="24"/>
          <w:szCs w:val="24"/>
          <w:lang w:eastAsia="en-GB"/>
        </w:rPr>
        <w:t>ph</w:t>
      </w:r>
      <w:r w:rsidRPr="00B65E06">
        <w:rPr>
          <w:rFonts w:ascii="Arial" w:hAnsi="Arial" w:cs="Arial"/>
          <w:noProof/>
          <w:sz w:val="24"/>
          <w:szCs w:val="24"/>
          <w:lang w:eastAsia="en-GB"/>
        </w:rPr>
        <w:t>. Nationally</w:t>
      </w:r>
      <w:r>
        <w:rPr>
          <w:rFonts w:ascii="Arial" w:hAnsi="Arial" w:cs="Arial"/>
          <w:noProof/>
          <w:sz w:val="24"/>
          <w:szCs w:val="24"/>
          <w:lang w:eastAsia="en-GB"/>
        </w:rPr>
        <w:t>,</w:t>
      </w:r>
      <w:r w:rsidRPr="00B65E06">
        <w:rPr>
          <w:rFonts w:ascii="Arial" w:hAnsi="Arial" w:cs="Arial"/>
          <w:noProof/>
          <w:sz w:val="24"/>
          <w:szCs w:val="24"/>
          <w:lang w:eastAsia="en-GB"/>
        </w:rPr>
        <w:t xml:space="preserve"> </w:t>
      </w:r>
      <w:r>
        <w:rPr>
          <w:rFonts w:ascii="Arial" w:hAnsi="Arial" w:cs="Arial"/>
          <w:noProof/>
          <w:sz w:val="24"/>
          <w:szCs w:val="24"/>
          <w:lang w:eastAsia="en-GB"/>
        </w:rPr>
        <w:t>the changes to the minimum wage will mean the extra costs to contracts with providers of £37m in 2016-2017 rising to £429m in 2020.</w:t>
      </w:r>
      <w:r>
        <w:rPr>
          <w:rFonts w:ascii="Arial" w:hAnsi="Arial" w:cs="Arial"/>
          <w:noProof/>
          <w:sz w:val="24"/>
          <w:szCs w:val="24"/>
          <w:vertAlign w:val="superscript"/>
          <w:lang w:eastAsia="en-GB"/>
        </w:rPr>
        <w:t>13</w:t>
      </w:r>
    </w:p>
    <w:p w:rsidR="00B95295" w:rsidRPr="007872EF" w:rsidRDefault="00B95295" w:rsidP="00B95295">
      <w:pPr>
        <w:pStyle w:val="ListParagraph"/>
        <w:numPr>
          <w:ilvl w:val="0"/>
          <w:numId w:val="4"/>
        </w:numPr>
        <w:rPr>
          <w:rFonts w:ascii="Arial" w:hAnsi="Arial" w:cs="Arial"/>
          <w:sz w:val="24"/>
          <w:szCs w:val="24"/>
        </w:rPr>
      </w:pPr>
      <w:r w:rsidRPr="00BE5F1A">
        <w:rPr>
          <w:rFonts w:ascii="Arial" w:hAnsi="Arial" w:cs="Arial"/>
          <w:sz w:val="24"/>
          <w:szCs w:val="24"/>
        </w:rPr>
        <w:t xml:space="preserve">The </w:t>
      </w:r>
      <w:r>
        <w:rPr>
          <w:rFonts w:ascii="Arial" w:hAnsi="Arial" w:cs="Arial"/>
          <w:sz w:val="24"/>
          <w:szCs w:val="24"/>
        </w:rPr>
        <w:t>LGA</w:t>
      </w:r>
      <w:r w:rsidRPr="00BE5F1A">
        <w:rPr>
          <w:rFonts w:ascii="Arial" w:hAnsi="Arial" w:cs="Arial"/>
          <w:sz w:val="24"/>
          <w:szCs w:val="24"/>
        </w:rPr>
        <w:t>, citing research by Laing &amp; Buison have estimated the costs of implementing the national living wage council funding to care homes will need to increase by 5%.</w:t>
      </w:r>
      <w:r w:rsidRPr="007872EF">
        <w:rPr>
          <w:rFonts w:ascii="Arial" w:hAnsi="Arial" w:cs="Arial"/>
          <w:sz w:val="24"/>
          <w:szCs w:val="24"/>
        </w:rPr>
        <w:t>15</w:t>
      </w:r>
    </w:p>
    <w:p w:rsidR="00B95295" w:rsidRDefault="00B95295" w:rsidP="00B95295">
      <w:pPr>
        <w:pStyle w:val="ListParagraph"/>
        <w:numPr>
          <w:ilvl w:val="0"/>
          <w:numId w:val="4"/>
        </w:numPr>
        <w:rPr>
          <w:rFonts w:ascii="Arial" w:hAnsi="Arial" w:cs="Arial"/>
          <w:sz w:val="24"/>
          <w:szCs w:val="24"/>
        </w:rPr>
      </w:pPr>
      <w:r w:rsidRPr="00B95295">
        <w:rPr>
          <w:rFonts w:ascii="Arial" w:hAnsi="Arial" w:cs="Arial"/>
          <w:sz w:val="24"/>
          <w:szCs w:val="24"/>
        </w:rPr>
        <w:t>The Better Care Fund raises new opportunities and challenges for instance in relation to partnership working.</w:t>
      </w:r>
    </w:p>
    <w:p w:rsidR="00B95295" w:rsidRPr="00B95295" w:rsidRDefault="00B95295" w:rsidP="00B95295">
      <w:pPr>
        <w:rPr>
          <w:rFonts w:ascii="Arial" w:hAnsi="Arial" w:cs="Arial"/>
          <w:b/>
          <w:sz w:val="24"/>
          <w:szCs w:val="24"/>
        </w:rPr>
      </w:pPr>
      <w:r w:rsidRPr="00B95295">
        <w:rPr>
          <w:rFonts w:ascii="Arial" w:hAnsi="Arial" w:cs="Arial"/>
          <w:b/>
          <w:sz w:val="24"/>
          <w:szCs w:val="24"/>
        </w:rPr>
        <w:t>Locally</w:t>
      </w:r>
    </w:p>
    <w:p w:rsidR="005B4939" w:rsidRDefault="00931D3A" w:rsidP="005B4939">
      <w:pPr>
        <w:pStyle w:val="ListParagraph"/>
        <w:numPr>
          <w:ilvl w:val="0"/>
          <w:numId w:val="4"/>
        </w:numPr>
        <w:rPr>
          <w:rFonts w:ascii="Arial" w:hAnsi="Arial" w:cs="Arial"/>
          <w:sz w:val="24"/>
          <w:szCs w:val="24"/>
        </w:rPr>
      </w:pPr>
      <w:r>
        <w:rPr>
          <w:rFonts w:ascii="Arial" w:hAnsi="Arial" w:cs="Arial"/>
          <w:sz w:val="24"/>
          <w:szCs w:val="24"/>
        </w:rPr>
        <w:t>In Brighton &amp; Hove t</w:t>
      </w:r>
      <w:r w:rsidR="005B4939">
        <w:rPr>
          <w:rFonts w:ascii="Arial" w:hAnsi="Arial" w:cs="Arial"/>
          <w:sz w:val="24"/>
          <w:szCs w:val="24"/>
        </w:rPr>
        <w:t xml:space="preserve">he reduction in government grants </w:t>
      </w:r>
      <w:r w:rsidR="007B1623">
        <w:rPr>
          <w:rFonts w:ascii="Arial" w:hAnsi="Arial" w:cs="Arial"/>
          <w:sz w:val="24"/>
          <w:szCs w:val="24"/>
        </w:rPr>
        <w:t xml:space="preserve">have led finance to profile a ‘fair share’ budget reduction </w:t>
      </w:r>
      <w:r w:rsidR="00AC3F64">
        <w:rPr>
          <w:rFonts w:ascii="Arial" w:hAnsi="Arial" w:cs="Arial"/>
          <w:sz w:val="24"/>
          <w:szCs w:val="24"/>
        </w:rPr>
        <w:t xml:space="preserve">by 2019/20 </w:t>
      </w:r>
      <w:r w:rsidR="007B1623">
        <w:rPr>
          <w:rFonts w:ascii="Arial" w:hAnsi="Arial" w:cs="Arial"/>
          <w:sz w:val="24"/>
          <w:szCs w:val="24"/>
        </w:rPr>
        <w:t>of approx. £22</w:t>
      </w:r>
      <w:r w:rsidR="00AC3F64">
        <w:rPr>
          <w:rFonts w:ascii="Arial" w:hAnsi="Arial" w:cs="Arial"/>
          <w:sz w:val="24"/>
          <w:szCs w:val="24"/>
        </w:rPr>
        <w:t>m or 21% of the services gross budget.</w:t>
      </w:r>
    </w:p>
    <w:p w:rsidR="005B4939" w:rsidRPr="00230B73" w:rsidRDefault="005B4939" w:rsidP="005B4939">
      <w:pPr>
        <w:rPr>
          <w:rFonts w:ascii="Arial" w:hAnsi="Arial" w:cs="Arial"/>
          <w:b/>
          <w:sz w:val="24"/>
          <w:szCs w:val="24"/>
        </w:rPr>
      </w:pPr>
      <w:r>
        <w:rPr>
          <w:rFonts w:ascii="Arial" w:hAnsi="Arial" w:cs="Arial"/>
          <w:b/>
          <w:sz w:val="24"/>
          <w:szCs w:val="24"/>
        </w:rPr>
        <w:t>The Impact of the Care Act and Statutory D</w:t>
      </w:r>
      <w:r w:rsidRPr="00230B73">
        <w:rPr>
          <w:rFonts w:ascii="Arial" w:hAnsi="Arial" w:cs="Arial"/>
          <w:b/>
          <w:sz w:val="24"/>
          <w:szCs w:val="24"/>
        </w:rPr>
        <w:t>uties</w:t>
      </w:r>
    </w:p>
    <w:p w:rsidR="005B4939" w:rsidRPr="003D0ECF" w:rsidRDefault="00B95295" w:rsidP="003D0ECF">
      <w:pPr>
        <w:rPr>
          <w:rFonts w:ascii="Arial" w:hAnsi="Arial" w:cs="Arial"/>
          <w:b/>
          <w:sz w:val="24"/>
          <w:szCs w:val="24"/>
        </w:rPr>
      </w:pPr>
      <w:r w:rsidRPr="00B95295">
        <w:rPr>
          <w:rFonts w:ascii="Arial" w:hAnsi="Arial" w:cs="Arial"/>
          <w:b/>
          <w:sz w:val="24"/>
          <w:szCs w:val="24"/>
        </w:rPr>
        <w:t>Nationally</w:t>
      </w:r>
    </w:p>
    <w:p w:rsidR="00B95295" w:rsidRDefault="005B4939" w:rsidP="00B95295">
      <w:pPr>
        <w:pStyle w:val="ListParagraph"/>
        <w:numPr>
          <w:ilvl w:val="0"/>
          <w:numId w:val="4"/>
        </w:numPr>
        <w:rPr>
          <w:rFonts w:ascii="Arial" w:hAnsi="Arial" w:cs="Arial"/>
          <w:sz w:val="24"/>
          <w:szCs w:val="24"/>
        </w:rPr>
      </w:pPr>
      <w:r w:rsidRPr="002D461F">
        <w:rPr>
          <w:rFonts w:ascii="Arial" w:hAnsi="Arial" w:cs="Arial"/>
          <w:sz w:val="24"/>
          <w:szCs w:val="24"/>
        </w:rPr>
        <w:t>The</w:t>
      </w:r>
      <w:r>
        <w:rPr>
          <w:rFonts w:ascii="Arial" w:hAnsi="Arial" w:cs="Arial"/>
          <w:sz w:val="24"/>
          <w:szCs w:val="24"/>
        </w:rPr>
        <w:t xml:space="preserve"> planned introduction of the Dilnot cap and raising the threshold above which people must make personal financial contributions to their own care has been postponed from 2016 to 2020. Some commentators have questioned whether this will be introduced at all. </w:t>
      </w:r>
      <w:r w:rsidR="0073362F">
        <w:rPr>
          <w:rFonts w:ascii="Arial" w:hAnsi="Arial" w:cs="Arial"/>
          <w:sz w:val="24"/>
          <w:szCs w:val="24"/>
        </w:rPr>
        <w:t>T</w:t>
      </w:r>
      <w:r>
        <w:rPr>
          <w:rFonts w:ascii="Arial" w:hAnsi="Arial" w:cs="Arial"/>
          <w:sz w:val="24"/>
          <w:szCs w:val="24"/>
        </w:rPr>
        <w:t>he delay</w:t>
      </w:r>
      <w:r w:rsidR="0073362F">
        <w:rPr>
          <w:rFonts w:ascii="Arial" w:hAnsi="Arial" w:cs="Arial"/>
          <w:sz w:val="24"/>
          <w:szCs w:val="24"/>
        </w:rPr>
        <w:t xml:space="preserve"> in </w:t>
      </w:r>
      <w:r>
        <w:rPr>
          <w:rFonts w:ascii="Arial" w:hAnsi="Arial" w:cs="Arial"/>
          <w:sz w:val="24"/>
          <w:szCs w:val="24"/>
        </w:rPr>
        <w:t xml:space="preserve">the introduction of the Dilnot </w:t>
      </w:r>
      <w:r w:rsidR="0073362F">
        <w:rPr>
          <w:rFonts w:ascii="Arial" w:hAnsi="Arial" w:cs="Arial"/>
          <w:sz w:val="24"/>
          <w:szCs w:val="24"/>
        </w:rPr>
        <w:t>cap</w:t>
      </w:r>
      <w:r>
        <w:rPr>
          <w:rFonts w:ascii="Arial" w:hAnsi="Arial" w:cs="Arial"/>
          <w:sz w:val="24"/>
          <w:szCs w:val="24"/>
        </w:rPr>
        <w:t xml:space="preserve"> is in the short term</w:t>
      </w:r>
      <w:r w:rsidR="0073362F">
        <w:rPr>
          <w:rFonts w:ascii="Arial" w:hAnsi="Arial" w:cs="Arial"/>
          <w:sz w:val="24"/>
          <w:szCs w:val="24"/>
        </w:rPr>
        <w:t>,</w:t>
      </w:r>
      <w:r>
        <w:rPr>
          <w:rFonts w:ascii="Arial" w:hAnsi="Arial" w:cs="Arial"/>
          <w:sz w:val="24"/>
          <w:szCs w:val="24"/>
        </w:rPr>
        <w:t xml:space="preserve"> good news to adult social care funding. Self funders are entitled to an </w:t>
      </w:r>
      <w:r w:rsidR="00241AF5">
        <w:rPr>
          <w:rFonts w:ascii="Arial" w:hAnsi="Arial" w:cs="Arial"/>
          <w:sz w:val="24"/>
          <w:szCs w:val="24"/>
        </w:rPr>
        <w:t>assessment</w:t>
      </w:r>
      <w:r>
        <w:rPr>
          <w:rFonts w:ascii="Arial" w:hAnsi="Arial" w:cs="Arial"/>
          <w:sz w:val="24"/>
          <w:szCs w:val="24"/>
        </w:rPr>
        <w:t xml:space="preserve"> of care and support need and this group may well want social care assessments to take advantage of the Dilnot cap in the event of it being introduced.</w:t>
      </w:r>
      <w:r w:rsidR="00B95295" w:rsidRPr="00B95295">
        <w:rPr>
          <w:rFonts w:ascii="Arial" w:hAnsi="Arial" w:cs="Arial"/>
          <w:sz w:val="24"/>
          <w:szCs w:val="24"/>
        </w:rPr>
        <w:t xml:space="preserve"> </w:t>
      </w:r>
    </w:p>
    <w:p w:rsidR="00B95295" w:rsidRDefault="00B95295" w:rsidP="00B95295">
      <w:pPr>
        <w:pStyle w:val="ListParagraph"/>
        <w:numPr>
          <w:ilvl w:val="0"/>
          <w:numId w:val="4"/>
        </w:numPr>
        <w:rPr>
          <w:rFonts w:ascii="Arial" w:hAnsi="Arial" w:cs="Arial"/>
          <w:sz w:val="24"/>
          <w:szCs w:val="24"/>
        </w:rPr>
      </w:pPr>
      <w:r w:rsidRPr="002D461F">
        <w:rPr>
          <w:rFonts w:ascii="Arial" w:hAnsi="Arial" w:cs="Arial"/>
          <w:sz w:val="24"/>
          <w:szCs w:val="24"/>
        </w:rPr>
        <w:t>The Care Act and statutory guidance places great emphasis on the role of social workers; there is now increased need for involvement of social workers in safeguarding, assessment and assuring people’s rights are upheld and protected.</w:t>
      </w:r>
    </w:p>
    <w:p w:rsidR="00D81CF5" w:rsidRDefault="00D81CF5" w:rsidP="00B95295">
      <w:pPr>
        <w:pStyle w:val="ListParagraph"/>
        <w:numPr>
          <w:ilvl w:val="0"/>
          <w:numId w:val="4"/>
        </w:numPr>
        <w:rPr>
          <w:rFonts w:ascii="Arial" w:hAnsi="Arial" w:cs="Arial"/>
          <w:sz w:val="24"/>
          <w:szCs w:val="24"/>
        </w:rPr>
      </w:pPr>
      <w:r>
        <w:rPr>
          <w:rFonts w:ascii="Arial" w:hAnsi="Arial" w:cs="Arial"/>
          <w:sz w:val="24"/>
          <w:szCs w:val="24"/>
        </w:rPr>
        <w:t xml:space="preserve">The Law Commission’s revision of the Deprivation of Liberty Safeguards (due </w:t>
      </w:r>
      <w:r w:rsidR="00E372B6">
        <w:rPr>
          <w:rFonts w:ascii="Arial" w:hAnsi="Arial" w:cs="Arial"/>
          <w:sz w:val="24"/>
          <w:szCs w:val="24"/>
        </w:rPr>
        <w:t>December 2016) is likely to introduce the role of an Approved Mental Capacity Act Professional.</w:t>
      </w:r>
      <w:r>
        <w:rPr>
          <w:rFonts w:ascii="Arial" w:hAnsi="Arial" w:cs="Arial"/>
          <w:sz w:val="24"/>
          <w:szCs w:val="24"/>
        </w:rPr>
        <w:t xml:space="preserve"> </w:t>
      </w:r>
    </w:p>
    <w:p w:rsidR="00B95295" w:rsidRDefault="00B95295" w:rsidP="00B95295">
      <w:pPr>
        <w:rPr>
          <w:rFonts w:ascii="Arial" w:hAnsi="Arial" w:cs="Arial"/>
          <w:b/>
          <w:sz w:val="24"/>
          <w:szCs w:val="24"/>
        </w:rPr>
      </w:pPr>
      <w:r w:rsidRPr="00B95295">
        <w:rPr>
          <w:rFonts w:ascii="Arial" w:hAnsi="Arial" w:cs="Arial"/>
          <w:b/>
          <w:sz w:val="24"/>
          <w:szCs w:val="24"/>
        </w:rPr>
        <w:lastRenderedPageBreak/>
        <w:t xml:space="preserve">Locally </w:t>
      </w:r>
    </w:p>
    <w:p w:rsidR="003D0ECF" w:rsidRPr="003D0ECF" w:rsidRDefault="003D0ECF" w:rsidP="003D0ECF">
      <w:pPr>
        <w:pStyle w:val="ListParagraph"/>
        <w:numPr>
          <w:ilvl w:val="0"/>
          <w:numId w:val="39"/>
        </w:numPr>
        <w:rPr>
          <w:rFonts w:ascii="Arial" w:hAnsi="Arial" w:cs="Arial"/>
          <w:b/>
          <w:sz w:val="24"/>
          <w:szCs w:val="24"/>
        </w:rPr>
      </w:pPr>
      <w:r w:rsidRPr="003D0ECF">
        <w:rPr>
          <w:rFonts w:ascii="Arial" w:hAnsi="Arial" w:cs="Arial"/>
          <w:sz w:val="24"/>
          <w:szCs w:val="24"/>
        </w:rPr>
        <w:t>In the wake of the P&amp;Q &amp; Cheshire West Supreme Court ruling the number of DoLS referrals has risen from two in February 2014 to 128 in February 2015. The implications for this are a significant impact on time and resources of senior officers and social workers and an increase in the need for Best Interest Assessors</w:t>
      </w:r>
    </w:p>
    <w:p w:rsidR="00B95295" w:rsidRDefault="00B95295" w:rsidP="00B95295">
      <w:pPr>
        <w:pStyle w:val="ListParagraph"/>
        <w:numPr>
          <w:ilvl w:val="0"/>
          <w:numId w:val="4"/>
        </w:numPr>
        <w:rPr>
          <w:rFonts w:ascii="Arial" w:hAnsi="Arial" w:cs="Arial"/>
          <w:sz w:val="24"/>
          <w:szCs w:val="24"/>
        </w:rPr>
      </w:pPr>
      <w:r w:rsidRPr="00FD60C1">
        <w:rPr>
          <w:rFonts w:ascii="Arial" w:hAnsi="Arial" w:cs="Arial"/>
          <w:sz w:val="24"/>
          <w:szCs w:val="24"/>
        </w:rPr>
        <w:t xml:space="preserve">The number of carers assessments will increase under the Care Act, an extra 406 </w:t>
      </w:r>
      <w:r w:rsidR="003D0ECF">
        <w:rPr>
          <w:rFonts w:ascii="Arial" w:hAnsi="Arial" w:cs="Arial"/>
          <w:sz w:val="24"/>
          <w:szCs w:val="24"/>
        </w:rPr>
        <w:t xml:space="preserve">was </w:t>
      </w:r>
      <w:r w:rsidRPr="00FD60C1">
        <w:rPr>
          <w:rFonts w:ascii="Arial" w:hAnsi="Arial" w:cs="Arial"/>
          <w:sz w:val="24"/>
          <w:szCs w:val="24"/>
        </w:rPr>
        <w:t xml:space="preserve">estimated in 2015/16 </w:t>
      </w:r>
      <w:r w:rsidRPr="00FD60C1">
        <w:rPr>
          <w:rFonts w:ascii="Arial" w:hAnsi="Arial" w:cs="Arial"/>
          <w:sz w:val="24"/>
          <w:szCs w:val="24"/>
          <w:vertAlign w:val="superscript"/>
        </w:rPr>
        <w:t>3</w:t>
      </w:r>
      <w:r w:rsidRPr="00FD60C1">
        <w:rPr>
          <w:rFonts w:ascii="Arial" w:hAnsi="Arial" w:cs="Arial"/>
          <w:sz w:val="24"/>
          <w:szCs w:val="24"/>
        </w:rPr>
        <w:t>. There is also the opportunity to increase self assessments.</w:t>
      </w:r>
    </w:p>
    <w:p w:rsidR="00D81CF5" w:rsidRPr="00D81CF5" w:rsidRDefault="00D81CF5" w:rsidP="00D81CF5">
      <w:pPr>
        <w:pStyle w:val="ListParagraph"/>
        <w:numPr>
          <w:ilvl w:val="0"/>
          <w:numId w:val="4"/>
        </w:numPr>
        <w:rPr>
          <w:rFonts w:ascii="Arial" w:hAnsi="Arial" w:cs="Arial"/>
          <w:sz w:val="24"/>
          <w:szCs w:val="24"/>
        </w:rPr>
      </w:pPr>
      <w:r>
        <w:rPr>
          <w:rFonts w:ascii="Arial" w:hAnsi="Arial" w:cs="Arial"/>
          <w:sz w:val="24"/>
          <w:szCs w:val="24"/>
        </w:rPr>
        <w:t xml:space="preserve">The make up of the assessment service will shift towards a greater proportion of the workforce being registered social workers. </w:t>
      </w:r>
    </w:p>
    <w:p w:rsidR="005B4939" w:rsidRPr="00A7776D" w:rsidRDefault="005B4939" w:rsidP="005B4939">
      <w:pPr>
        <w:rPr>
          <w:rFonts w:ascii="Arial" w:hAnsi="Arial" w:cs="Arial"/>
          <w:b/>
          <w:sz w:val="24"/>
          <w:szCs w:val="24"/>
        </w:rPr>
      </w:pPr>
      <w:r w:rsidRPr="00A7776D">
        <w:rPr>
          <w:rFonts w:ascii="Arial" w:hAnsi="Arial" w:cs="Arial"/>
          <w:b/>
          <w:sz w:val="24"/>
          <w:szCs w:val="24"/>
        </w:rPr>
        <w:t>Brighton &amp; Hove City Council</w:t>
      </w:r>
    </w:p>
    <w:p w:rsidR="005B4939" w:rsidRPr="002D461F" w:rsidRDefault="005B4939" w:rsidP="005B4939">
      <w:pPr>
        <w:pStyle w:val="ListParagraph"/>
        <w:numPr>
          <w:ilvl w:val="0"/>
          <w:numId w:val="4"/>
        </w:numPr>
        <w:rPr>
          <w:rFonts w:ascii="Arial" w:hAnsi="Arial" w:cs="Arial"/>
          <w:sz w:val="24"/>
          <w:szCs w:val="24"/>
        </w:rPr>
      </w:pPr>
      <w:r>
        <w:rPr>
          <w:rFonts w:ascii="Arial" w:hAnsi="Arial" w:cs="Arial"/>
          <w:sz w:val="24"/>
          <w:szCs w:val="24"/>
        </w:rPr>
        <w:t xml:space="preserve">Adult Social Care in Brighton &amp; Hove City Council </w:t>
      </w:r>
      <w:r w:rsidRPr="002D461F">
        <w:rPr>
          <w:rFonts w:ascii="Arial" w:hAnsi="Arial" w:cs="Arial"/>
          <w:sz w:val="24"/>
          <w:szCs w:val="24"/>
        </w:rPr>
        <w:t xml:space="preserve">has an average rate of sickness of 13 days a year compared with 11 days for the council as a whole and 9.5 for local authority adult social services nationally </w:t>
      </w:r>
      <w:r w:rsidRPr="002D461F">
        <w:rPr>
          <w:rFonts w:ascii="Arial" w:hAnsi="Arial" w:cs="Arial"/>
          <w:sz w:val="24"/>
          <w:szCs w:val="24"/>
          <w:vertAlign w:val="superscript"/>
        </w:rPr>
        <w:t>5</w:t>
      </w:r>
      <w:r w:rsidRPr="002D461F">
        <w:rPr>
          <w:rFonts w:ascii="Arial" w:hAnsi="Arial" w:cs="Arial"/>
          <w:sz w:val="24"/>
          <w:szCs w:val="24"/>
        </w:rPr>
        <w:t>.</w:t>
      </w:r>
    </w:p>
    <w:p w:rsidR="005B4939" w:rsidRPr="005E4983" w:rsidRDefault="005B4939" w:rsidP="005E4983">
      <w:pPr>
        <w:pStyle w:val="ListParagraph"/>
        <w:numPr>
          <w:ilvl w:val="0"/>
          <w:numId w:val="4"/>
        </w:numPr>
        <w:rPr>
          <w:rFonts w:ascii="Arial" w:hAnsi="Arial" w:cs="Arial"/>
          <w:sz w:val="24"/>
          <w:szCs w:val="24"/>
        </w:rPr>
      </w:pPr>
      <w:r w:rsidRPr="005B4939">
        <w:rPr>
          <w:rFonts w:ascii="Arial" w:hAnsi="Arial" w:cs="Arial"/>
          <w:sz w:val="24"/>
          <w:szCs w:val="24"/>
        </w:rPr>
        <w:t>27% of the adult social care workforce in BHCC is over 55 years of age</w:t>
      </w:r>
    </w:p>
    <w:p w:rsidR="00A7776D" w:rsidRDefault="00A7776D">
      <w:pPr>
        <w:rPr>
          <w:rFonts w:ascii="Arial" w:hAnsi="Arial" w:cs="Arial"/>
          <w:b/>
          <w:sz w:val="24"/>
          <w:szCs w:val="24"/>
        </w:rPr>
      </w:pPr>
      <w:r w:rsidRPr="00A7776D">
        <w:rPr>
          <w:rFonts w:ascii="Arial" w:hAnsi="Arial" w:cs="Arial"/>
          <w:b/>
          <w:sz w:val="24"/>
          <w:szCs w:val="24"/>
        </w:rPr>
        <w:t>The size</w:t>
      </w:r>
      <w:r>
        <w:rPr>
          <w:rFonts w:ascii="Arial" w:hAnsi="Arial" w:cs="Arial"/>
          <w:b/>
          <w:sz w:val="24"/>
          <w:szCs w:val="24"/>
        </w:rPr>
        <w:t xml:space="preserve"> and make up</w:t>
      </w:r>
      <w:r w:rsidRPr="00A7776D">
        <w:rPr>
          <w:rFonts w:ascii="Arial" w:hAnsi="Arial" w:cs="Arial"/>
          <w:b/>
          <w:sz w:val="24"/>
          <w:szCs w:val="24"/>
        </w:rPr>
        <w:t xml:space="preserve"> of the workforce</w:t>
      </w:r>
    </w:p>
    <w:p w:rsidR="00B95295" w:rsidRDefault="00B95295" w:rsidP="00B95295">
      <w:pPr>
        <w:rPr>
          <w:rFonts w:ascii="Arial" w:hAnsi="Arial" w:cs="Arial"/>
          <w:b/>
          <w:sz w:val="24"/>
          <w:szCs w:val="24"/>
        </w:rPr>
      </w:pPr>
      <w:r w:rsidRPr="00B95295">
        <w:rPr>
          <w:rFonts w:ascii="Arial" w:hAnsi="Arial" w:cs="Arial"/>
          <w:b/>
          <w:sz w:val="24"/>
          <w:szCs w:val="24"/>
        </w:rPr>
        <w:t>Nationally</w:t>
      </w:r>
    </w:p>
    <w:p w:rsidR="003D0ECF" w:rsidRDefault="003D0ECF" w:rsidP="003D0ECF">
      <w:pPr>
        <w:pStyle w:val="ListParagraph"/>
        <w:numPr>
          <w:ilvl w:val="0"/>
          <w:numId w:val="17"/>
        </w:numPr>
        <w:rPr>
          <w:rFonts w:ascii="Arial" w:hAnsi="Arial" w:cs="Arial"/>
          <w:sz w:val="24"/>
          <w:szCs w:val="24"/>
        </w:rPr>
      </w:pPr>
      <w:r w:rsidRPr="005B4939">
        <w:rPr>
          <w:rFonts w:ascii="Arial" w:hAnsi="Arial" w:cs="Arial"/>
          <w:sz w:val="24"/>
          <w:szCs w:val="24"/>
        </w:rPr>
        <w:t>The Health &amp; Social Care Sect</w:t>
      </w:r>
      <w:r>
        <w:rPr>
          <w:rFonts w:ascii="Arial" w:hAnsi="Arial" w:cs="Arial"/>
          <w:sz w:val="24"/>
          <w:szCs w:val="24"/>
        </w:rPr>
        <w:t>ors is the largest sec</w:t>
      </w:r>
      <w:r w:rsidRPr="005B4939">
        <w:rPr>
          <w:rFonts w:ascii="Arial" w:hAnsi="Arial" w:cs="Arial"/>
          <w:sz w:val="24"/>
          <w:szCs w:val="24"/>
        </w:rPr>
        <w:t xml:space="preserve">tor by employment in the UK economy, employing 13% of the workforce. </w:t>
      </w:r>
      <w:r w:rsidRPr="005B4939">
        <w:rPr>
          <w:rFonts w:ascii="Arial" w:hAnsi="Arial" w:cs="Arial"/>
          <w:sz w:val="24"/>
          <w:szCs w:val="24"/>
          <w:vertAlign w:val="superscript"/>
        </w:rPr>
        <w:t xml:space="preserve">14 </w:t>
      </w:r>
      <w:r w:rsidRPr="005B4939">
        <w:rPr>
          <w:rFonts w:ascii="Arial" w:hAnsi="Arial" w:cs="Arial"/>
          <w:sz w:val="24"/>
          <w:szCs w:val="24"/>
        </w:rPr>
        <w:t>The number of employees is growing (up 6% between 2009 – 2014).</w:t>
      </w:r>
      <w:r w:rsidRPr="00B95295">
        <w:rPr>
          <w:rFonts w:ascii="Arial" w:hAnsi="Arial" w:cs="Arial"/>
          <w:sz w:val="24"/>
          <w:szCs w:val="24"/>
        </w:rPr>
        <w:t xml:space="preserve"> </w:t>
      </w:r>
    </w:p>
    <w:p w:rsidR="003D0ECF" w:rsidRPr="005B4939" w:rsidRDefault="003D0ECF" w:rsidP="003D0ECF">
      <w:pPr>
        <w:pStyle w:val="ListParagraph"/>
        <w:numPr>
          <w:ilvl w:val="0"/>
          <w:numId w:val="17"/>
        </w:numPr>
        <w:rPr>
          <w:rFonts w:ascii="Arial" w:hAnsi="Arial" w:cs="Arial"/>
          <w:sz w:val="24"/>
          <w:szCs w:val="24"/>
        </w:rPr>
      </w:pPr>
      <w:r w:rsidRPr="002D461F">
        <w:rPr>
          <w:rFonts w:ascii="Arial" w:hAnsi="Arial" w:cs="Arial"/>
          <w:sz w:val="24"/>
          <w:szCs w:val="24"/>
        </w:rPr>
        <w:t xml:space="preserve">Nationally 2 in 5 workers in personal services (Social care &amp; childcare) are low paid </w:t>
      </w:r>
      <w:r w:rsidRPr="002D461F">
        <w:rPr>
          <w:rFonts w:ascii="Arial" w:hAnsi="Arial" w:cs="Arial"/>
          <w:sz w:val="24"/>
          <w:szCs w:val="24"/>
          <w:vertAlign w:val="superscript"/>
        </w:rPr>
        <w:t xml:space="preserve">4 </w:t>
      </w:r>
      <w:r w:rsidRPr="002D461F">
        <w:rPr>
          <w:rFonts w:ascii="Arial" w:hAnsi="Arial" w:cs="Arial"/>
          <w:sz w:val="24"/>
          <w:szCs w:val="24"/>
        </w:rPr>
        <w:t>(i.e. earning less than £6.90 an hour which is 2/3 of the median hourly wage of £11.53).</w:t>
      </w:r>
    </w:p>
    <w:p w:rsidR="003D0ECF" w:rsidRPr="003D0ECF" w:rsidRDefault="003D0ECF" w:rsidP="00B95295">
      <w:pPr>
        <w:pStyle w:val="ListParagraph"/>
        <w:numPr>
          <w:ilvl w:val="0"/>
          <w:numId w:val="17"/>
        </w:numPr>
        <w:rPr>
          <w:rFonts w:ascii="Arial" w:hAnsi="Arial" w:cs="Arial"/>
          <w:sz w:val="24"/>
          <w:szCs w:val="24"/>
        </w:rPr>
      </w:pPr>
      <w:r>
        <w:rPr>
          <w:rFonts w:ascii="Arial" w:hAnsi="Arial" w:cs="Arial"/>
          <w:sz w:val="24"/>
          <w:szCs w:val="24"/>
        </w:rPr>
        <w:t>Skills for Care have estimated that 17% of the adult social care workforce are non-British.</w:t>
      </w:r>
      <w:r>
        <w:rPr>
          <w:rFonts w:ascii="Arial" w:hAnsi="Arial" w:cs="Arial"/>
          <w:sz w:val="24"/>
          <w:szCs w:val="24"/>
          <w:vertAlign w:val="superscript"/>
        </w:rPr>
        <w:t>14</w:t>
      </w:r>
    </w:p>
    <w:p w:rsidR="003D0ECF" w:rsidRPr="003D0ECF" w:rsidRDefault="003D0ECF" w:rsidP="00B95295">
      <w:pPr>
        <w:pStyle w:val="ListParagraph"/>
        <w:numPr>
          <w:ilvl w:val="0"/>
          <w:numId w:val="17"/>
        </w:numPr>
        <w:rPr>
          <w:rFonts w:ascii="Arial" w:hAnsi="Arial" w:cs="Arial"/>
          <w:sz w:val="24"/>
          <w:szCs w:val="24"/>
        </w:rPr>
      </w:pPr>
      <w:r w:rsidRPr="003D0ECF">
        <w:rPr>
          <w:rFonts w:ascii="Arial" w:hAnsi="Arial" w:cs="Arial"/>
          <w:sz w:val="24"/>
          <w:szCs w:val="24"/>
        </w:rPr>
        <w:t>The social care sector is under represented by younger people with proportionally more workers aged 50 – 64 than in the economy as a whole</w:t>
      </w:r>
    </w:p>
    <w:p w:rsidR="00B95295" w:rsidRDefault="00B95295" w:rsidP="00B95295">
      <w:pPr>
        <w:pStyle w:val="ListParagraph"/>
        <w:numPr>
          <w:ilvl w:val="0"/>
          <w:numId w:val="17"/>
        </w:numPr>
        <w:rPr>
          <w:rFonts w:ascii="Arial" w:hAnsi="Arial" w:cs="Arial"/>
          <w:sz w:val="24"/>
          <w:szCs w:val="24"/>
        </w:rPr>
      </w:pPr>
      <w:r>
        <w:rPr>
          <w:rFonts w:ascii="Arial" w:hAnsi="Arial" w:cs="Arial"/>
          <w:sz w:val="24"/>
          <w:szCs w:val="24"/>
        </w:rPr>
        <w:t>The British Retail Consortium states median hourly paid wages in the retail sector are £7.30 and hour. In August 2015 Sainsbury’s announced that it would pa</w:t>
      </w:r>
      <w:r w:rsidR="003D0ECF">
        <w:rPr>
          <w:rFonts w:ascii="Arial" w:hAnsi="Arial" w:cs="Arial"/>
          <w:sz w:val="24"/>
          <w:szCs w:val="24"/>
        </w:rPr>
        <w:t>y staff at least £7.36 an hour.</w:t>
      </w:r>
    </w:p>
    <w:p w:rsidR="00E602EE" w:rsidRDefault="00E602EE" w:rsidP="00B95295">
      <w:pPr>
        <w:pStyle w:val="ListParagraph"/>
        <w:numPr>
          <w:ilvl w:val="0"/>
          <w:numId w:val="17"/>
        </w:numPr>
        <w:rPr>
          <w:rFonts w:ascii="Arial" w:hAnsi="Arial" w:cs="Arial"/>
          <w:sz w:val="24"/>
          <w:szCs w:val="24"/>
        </w:rPr>
      </w:pPr>
      <w:r>
        <w:rPr>
          <w:rFonts w:ascii="Arial" w:hAnsi="Arial" w:cs="Arial"/>
          <w:sz w:val="24"/>
          <w:szCs w:val="24"/>
        </w:rPr>
        <w:t>The table below shows the ethnicity of staff across the whole adult social care workforce in Brighton &amp; Hove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9"/>
        <w:gridCol w:w="5472"/>
        <w:gridCol w:w="1419"/>
        <w:gridCol w:w="2036"/>
      </w:tblGrid>
      <w:tr w:rsidR="00E602EE" w:rsidRPr="00E602EE" w:rsidTr="00E602EE">
        <w:tc>
          <w:tcPr>
            <w:tcW w:w="0" w:type="auto"/>
            <w:hideMark/>
          </w:tcPr>
          <w:p w:rsidR="00E602EE" w:rsidRPr="00E602EE" w:rsidRDefault="00E602EE" w:rsidP="00E602EE">
            <w:pPr>
              <w:spacing w:after="0" w:line="240" w:lineRule="auto"/>
              <w:textAlignment w:val="top"/>
              <w:rPr>
                <w:rFonts w:ascii="Arial" w:eastAsia="Times New Roman" w:hAnsi="Arial" w:cs="Arial"/>
                <w:color w:val="555555"/>
                <w:sz w:val="18"/>
                <w:szCs w:val="18"/>
                <w:lang w:eastAsia="en-GB"/>
              </w:rPr>
            </w:pPr>
          </w:p>
        </w:tc>
        <w:tc>
          <w:tcPr>
            <w:tcW w:w="0" w:type="auto"/>
            <w:hideMark/>
          </w:tcPr>
          <w:p w:rsidR="00E602EE" w:rsidRPr="00E602EE" w:rsidRDefault="00E602EE" w:rsidP="00E602EE">
            <w:pPr>
              <w:spacing w:after="0" w:line="240" w:lineRule="auto"/>
              <w:textAlignment w:val="top"/>
              <w:rPr>
                <w:rFonts w:ascii="Arial" w:eastAsia="Times New Roman" w:hAnsi="Arial" w:cs="Arial"/>
                <w:color w:val="555555"/>
                <w:sz w:val="18"/>
                <w:szCs w:val="18"/>
                <w:lang w:eastAsia="en-GB"/>
              </w:rPr>
            </w:pPr>
            <w:r w:rsidRPr="00E602EE">
              <w:rPr>
                <w:rFonts w:ascii="Arial" w:eastAsia="Times New Roman" w:hAnsi="Arial" w:cs="Arial"/>
                <w:color w:val="555555"/>
                <w:sz w:val="18"/>
                <w:szCs w:val="18"/>
                <w:lang w:eastAsia="en-GB"/>
              </w:rPr>
              <w:t>Group</w:t>
            </w:r>
          </w:p>
        </w:tc>
        <w:tc>
          <w:tcPr>
            <w:tcW w:w="0" w:type="auto"/>
            <w:hideMark/>
          </w:tcPr>
          <w:p w:rsidR="00E602EE" w:rsidRPr="00E602EE" w:rsidRDefault="00E602EE" w:rsidP="00E602EE">
            <w:pPr>
              <w:spacing w:after="0" w:line="240" w:lineRule="auto"/>
              <w:textAlignment w:val="top"/>
              <w:rPr>
                <w:rFonts w:ascii="Arial" w:eastAsia="Times New Roman" w:hAnsi="Arial" w:cs="Arial"/>
                <w:color w:val="555555"/>
                <w:sz w:val="18"/>
                <w:szCs w:val="18"/>
                <w:lang w:eastAsia="en-GB"/>
              </w:rPr>
            </w:pPr>
            <w:r w:rsidRPr="00E602EE">
              <w:rPr>
                <w:rFonts w:ascii="Arial" w:eastAsia="Times New Roman" w:hAnsi="Arial" w:cs="Arial"/>
                <w:color w:val="555555"/>
                <w:sz w:val="18"/>
                <w:szCs w:val="18"/>
                <w:lang w:eastAsia="en-GB"/>
              </w:rPr>
              <w:t xml:space="preserve">Number of </w:t>
            </w:r>
            <w:r w:rsidRPr="00E602EE">
              <w:rPr>
                <w:rFonts w:ascii="Arial" w:eastAsia="Times New Roman" w:hAnsi="Arial" w:cs="Arial"/>
                <w:color w:val="555555"/>
                <w:sz w:val="18"/>
                <w:szCs w:val="18"/>
                <w:lang w:eastAsia="en-GB"/>
              </w:rPr>
              <w:br/>
              <w:t>Staff</w:t>
            </w:r>
          </w:p>
        </w:tc>
        <w:tc>
          <w:tcPr>
            <w:tcW w:w="0" w:type="auto"/>
            <w:hideMark/>
          </w:tcPr>
          <w:p w:rsidR="00E602EE" w:rsidRPr="00E602EE" w:rsidRDefault="00E602EE" w:rsidP="00E602EE">
            <w:pPr>
              <w:spacing w:after="0" w:line="240" w:lineRule="auto"/>
              <w:textAlignment w:val="top"/>
              <w:rPr>
                <w:rFonts w:ascii="Arial" w:eastAsia="Times New Roman" w:hAnsi="Arial" w:cs="Arial"/>
                <w:color w:val="555555"/>
                <w:sz w:val="18"/>
                <w:szCs w:val="18"/>
                <w:lang w:eastAsia="en-GB"/>
              </w:rPr>
            </w:pPr>
            <w:r w:rsidRPr="00E602EE">
              <w:rPr>
                <w:rFonts w:ascii="Arial" w:eastAsia="Times New Roman" w:hAnsi="Arial" w:cs="Arial"/>
                <w:color w:val="555555"/>
                <w:sz w:val="18"/>
                <w:szCs w:val="18"/>
                <w:lang w:eastAsia="en-GB"/>
              </w:rPr>
              <w:t>Percent of staff</w:t>
            </w:r>
          </w:p>
        </w:tc>
      </w:tr>
      <w:tr w:rsidR="00E602EE" w:rsidRPr="00E602EE" w:rsidTr="00E602EE">
        <w:tc>
          <w:tcPr>
            <w:tcW w:w="0" w:type="auto"/>
            <w:tcMar>
              <w:top w:w="0" w:type="dxa"/>
              <w:left w:w="30" w:type="dxa"/>
              <w:bottom w:w="0" w:type="dxa"/>
              <w:right w:w="30" w:type="dxa"/>
            </w:tcMar>
            <w:hideMark/>
          </w:tcPr>
          <w:p w:rsidR="00E602EE" w:rsidRPr="00E602EE" w:rsidRDefault="00E602EE" w:rsidP="00E602EE">
            <w:pPr>
              <w:spacing w:after="0" w:line="240" w:lineRule="auto"/>
              <w:textAlignment w:val="top"/>
              <w:rPr>
                <w:rFonts w:ascii="Arial" w:eastAsia="Times New Roman" w:hAnsi="Arial" w:cs="Arial"/>
                <w:color w:val="0078D0"/>
                <w:sz w:val="18"/>
                <w:szCs w:val="18"/>
                <w:lang w:eastAsia="en-GB"/>
              </w:rPr>
            </w:pPr>
          </w:p>
        </w:tc>
        <w:tc>
          <w:tcPr>
            <w:tcW w:w="0" w:type="auto"/>
            <w:shd w:val="clear" w:color="auto" w:fill="FFFFFF"/>
            <w:hideMark/>
          </w:tcPr>
          <w:p w:rsidR="00E602EE" w:rsidRPr="00E602EE" w:rsidRDefault="00E602EE" w:rsidP="00E602EE">
            <w:pPr>
              <w:spacing w:after="0" w:line="240" w:lineRule="auto"/>
              <w:jc w:val="center"/>
              <w:textAlignment w:val="top"/>
              <w:rPr>
                <w:rFonts w:ascii="Arial" w:eastAsia="Times New Roman" w:hAnsi="Arial" w:cs="Arial"/>
                <w:color w:val="555555"/>
                <w:sz w:val="18"/>
                <w:szCs w:val="18"/>
                <w:lang w:eastAsia="en-GB"/>
              </w:rPr>
            </w:pPr>
            <w:r w:rsidRPr="00E602EE">
              <w:rPr>
                <w:rFonts w:ascii="Arial" w:eastAsia="Times New Roman" w:hAnsi="Arial" w:cs="Arial"/>
                <w:color w:val="555555"/>
                <w:sz w:val="18"/>
                <w:szCs w:val="18"/>
                <w:lang w:eastAsia="en-GB"/>
              </w:rPr>
              <w:t>White</w:t>
            </w:r>
          </w:p>
        </w:tc>
        <w:tc>
          <w:tcPr>
            <w:tcW w:w="0" w:type="auto"/>
            <w:shd w:val="clear" w:color="auto" w:fill="FFFFFF"/>
            <w:hideMark/>
          </w:tcPr>
          <w:p w:rsidR="00E602EE" w:rsidRPr="00E602EE" w:rsidRDefault="00E602EE" w:rsidP="00E602EE">
            <w:pPr>
              <w:spacing w:after="0" w:line="240" w:lineRule="auto"/>
              <w:jc w:val="center"/>
              <w:textAlignment w:val="top"/>
              <w:rPr>
                <w:rFonts w:ascii="Arial" w:eastAsia="Times New Roman" w:hAnsi="Arial" w:cs="Arial"/>
                <w:color w:val="555555"/>
                <w:sz w:val="18"/>
                <w:szCs w:val="18"/>
                <w:lang w:eastAsia="en-GB"/>
              </w:rPr>
            </w:pPr>
            <w:r w:rsidRPr="00E602EE">
              <w:rPr>
                <w:rFonts w:ascii="Arial" w:eastAsia="Times New Roman" w:hAnsi="Arial" w:cs="Arial"/>
                <w:color w:val="555555"/>
                <w:sz w:val="18"/>
                <w:szCs w:val="18"/>
                <w:lang w:eastAsia="en-GB"/>
              </w:rPr>
              <w:t>2,591</w:t>
            </w:r>
          </w:p>
        </w:tc>
        <w:tc>
          <w:tcPr>
            <w:tcW w:w="0" w:type="auto"/>
            <w:tcMar>
              <w:top w:w="0" w:type="dxa"/>
              <w:left w:w="30" w:type="dxa"/>
              <w:bottom w:w="0" w:type="dxa"/>
              <w:right w:w="30" w:type="dxa"/>
            </w:tcMar>
            <w:hideMark/>
          </w:tcPr>
          <w:p w:rsidR="00E602EE" w:rsidRPr="00E602EE" w:rsidRDefault="00E602EE" w:rsidP="00E602EE">
            <w:pPr>
              <w:spacing w:after="0" w:line="240" w:lineRule="auto"/>
              <w:textAlignment w:val="top"/>
              <w:rPr>
                <w:rFonts w:ascii="Arial" w:eastAsia="Times New Roman" w:hAnsi="Arial" w:cs="Arial"/>
                <w:color w:val="0078D0"/>
                <w:sz w:val="18"/>
                <w:szCs w:val="18"/>
                <w:lang w:eastAsia="en-GB"/>
              </w:rPr>
            </w:pPr>
            <w:r w:rsidRPr="00E602EE">
              <w:rPr>
                <w:rFonts w:ascii="Arial" w:eastAsia="Times New Roman" w:hAnsi="Arial" w:cs="Arial"/>
                <w:color w:val="0078D0"/>
                <w:sz w:val="18"/>
                <w:szCs w:val="18"/>
                <w:lang w:eastAsia="en-GB"/>
              </w:rPr>
              <w:t>68.2 %</w:t>
            </w:r>
          </w:p>
        </w:tc>
      </w:tr>
      <w:tr w:rsidR="00E602EE" w:rsidRPr="00E602EE" w:rsidTr="00E602EE">
        <w:tc>
          <w:tcPr>
            <w:tcW w:w="0" w:type="auto"/>
            <w:tcMar>
              <w:top w:w="0" w:type="dxa"/>
              <w:left w:w="30" w:type="dxa"/>
              <w:bottom w:w="0" w:type="dxa"/>
              <w:right w:w="30" w:type="dxa"/>
            </w:tcMar>
            <w:hideMark/>
          </w:tcPr>
          <w:p w:rsidR="00E602EE" w:rsidRPr="00E602EE" w:rsidRDefault="00E602EE" w:rsidP="00E602EE">
            <w:pPr>
              <w:spacing w:after="0" w:line="240" w:lineRule="auto"/>
              <w:textAlignment w:val="top"/>
              <w:rPr>
                <w:rFonts w:ascii="Arial" w:eastAsia="Times New Roman" w:hAnsi="Arial" w:cs="Arial"/>
                <w:color w:val="0078D0"/>
                <w:sz w:val="18"/>
                <w:szCs w:val="18"/>
                <w:lang w:eastAsia="en-GB"/>
              </w:rPr>
            </w:pPr>
          </w:p>
        </w:tc>
        <w:tc>
          <w:tcPr>
            <w:tcW w:w="0" w:type="auto"/>
            <w:shd w:val="clear" w:color="auto" w:fill="FFFFFF"/>
            <w:hideMark/>
          </w:tcPr>
          <w:p w:rsidR="00E602EE" w:rsidRPr="00E602EE" w:rsidRDefault="00E602EE" w:rsidP="00E602EE">
            <w:pPr>
              <w:spacing w:after="0" w:line="240" w:lineRule="auto"/>
              <w:jc w:val="center"/>
              <w:textAlignment w:val="top"/>
              <w:rPr>
                <w:rFonts w:ascii="Arial" w:eastAsia="Times New Roman" w:hAnsi="Arial" w:cs="Arial"/>
                <w:color w:val="555555"/>
                <w:sz w:val="18"/>
                <w:szCs w:val="18"/>
                <w:lang w:eastAsia="en-GB"/>
              </w:rPr>
            </w:pPr>
            <w:r w:rsidRPr="00E602EE">
              <w:rPr>
                <w:rFonts w:ascii="Arial" w:eastAsia="Times New Roman" w:hAnsi="Arial" w:cs="Arial"/>
                <w:color w:val="555555"/>
                <w:sz w:val="18"/>
                <w:szCs w:val="18"/>
                <w:lang w:eastAsia="en-GB"/>
              </w:rPr>
              <w:t>Mixed / Multiple Ethnic Group</w:t>
            </w:r>
          </w:p>
        </w:tc>
        <w:tc>
          <w:tcPr>
            <w:tcW w:w="0" w:type="auto"/>
            <w:shd w:val="clear" w:color="auto" w:fill="FFFFFF"/>
            <w:hideMark/>
          </w:tcPr>
          <w:p w:rsidR="00E602EE" w:rsidRPr="00E602EE" w:rsidRDefault="00E602EE" w:rsidP="00E602EE">
            <w:pPr>
              <w:spacing w:after="0" w:line="240" w:lineRule="auto"/>
              <w:jc w:val="center"/>
              <w:textAlignment w:val="top"/>
              <w:rPr>
                <w:rFonts w:ascii="Arial" w:eastAsia="Times New Roman" w:hAnsi="Arial" w:cs="Arial"/>
                <w:color w:val="555555"/>
                <w:sz w:val="18"/>
                <w:szCs w:val="18"/>
                <w:lang w:eastAsia="en-GB"/>
              </w:rPr>
            </w:pPr>
            <w:r w:rsidRPr="00E602EE">
              <w:rPr>
                <w:rFonts w:ascii="Arial" w:eastAsia="Times New Roman" w:hAnsi="Arial" w:cs="Arial"/>
                <w:color w:val="555555"/>
                <w:sz w:val="18"/>
                <w:szCs w:val="18"/>
                <w:lang w:eastAsia="en-GB"/>
              </w:rPr>
              <w:t>58</w:t>
            </w:r>
          </w:p>
        </w:tc>
        <w:tc>
          <w:tcPr>
            <w:tcW w:w="0" w:type="auto"/>
            <w:tcMar>
              <w:top w:w="0" w:type="dxa"/>
              <w:left w:w="30" w:type="dxa"/>
              <w:bottom w:w="0" w:type="dxa"/>
              <w:right w:w="30" w:type="dxa"/>
            </w:tcMar>
            <w:hideMark/>
          </w:tcPr>
          <w:p w:rsidR="00E602EE" w:rsidRPr="00E602EE" w:rsidRDefault="00E602EE" w:rsidP="00E602EE">
            <w:pPr>
              <w:spacing w:after="0" w:line="240" w:lineRule="auto"/>
              <w:textAlignment w:val="top"/>
              <w:rPr>
                <w:rFonts w:ascii="Arial" w:eastAsia="Times New Roman" w:hAnsi="Arial" w:cs="Arial"/>
                <w:color w:val="0078D0"/>
                <w:sz w:val="18"/>
                <w:szCs w:val="18"/>
                <w:lang w:eastAsia="en-GB"/>
              </w:rPr>
            </w:pPr>
            <w:r w:rsidRPr="00E602EE">
              <w:rPr>
                <w:rFonts w:ascii="Arial" w:eastAsia="Times New Roman" w:hAnsi="Arial" w:cs="Arial"/>
                <w:color w:val="0078D0"/>
                <w:sz w:val="18"/>
                <w:szCs w:val="18"/>
                <w:lang w:eastAsia="en-GB"/>
              </w:rPr>
              <w:t>1.5 %</w:t>
            </w:r>
          </w:p>
        </w:tc>
      </w:tr>
      <w:tr w:rsidR="00E602EE" w:rsidRPr="00E602EE" w:rsidTr="00E602EE">
        <w:tc>
          <w:tcPr>
            <w:tcW w:w="0" w:type="auto"/>
            <w:tcMar>
              <w:top w:w="0" w:type="dxa"/>
              <w:left w:w="30" w:type="dxa"/>
              <w:bottom w:w="0" w:type="dxa"/>
              <w:right w:w="30" w:type="dxa"/>
            </w:tcMar>
            <w:hideMark/>
          </w:tcPr>
          <w:p w:rsidR="00E602EE" w:rsidRPr="00E602EE" w:rsidRDefault="00E602EE" w:rsidP="00E602EE">
            <w:pPr>
              <w:spacing w:after="0" w:line="240" w:lineRule="auto"/>
              <w:textAlignment w:val="top"/>
              <w:rPr>
                <w:rFonts w:ascii="Arial" w:eastAsia="Times New Roman" w:hAnsi="Arial" w:cs="Arial"/>
                <w:color w:val="0078D0"/>
                <w:sz w:val="18"/>
                <w:szCs w:val="18"/>
                <w:lang w:eastAsia="en-GB"/>
              </w:rPr>
            </w:pPr>
          </w:p>
        </w:tc>
        <w:tc>
          <w:tcPr>
            <w:tcW w:w="0" w:type="auto"/>
            <w:shd w:val="clear" w:color="auto" w:fill="FFFFFF"/>
            <w:hideMark/>
          </w:tcPr>
          <w:p w:rsidR="00E602EE" w:rsidRPr="00E602EE" w:rsidRDefault="00E602EE" w:rsidP="00E602EE">
            <w:pPr>
              <w:spacing w:after="0" w:line="240" w:lineRule="auto"/>
              <w:jc w:val="center"/>
              <w:textAlignment w:val="top"/>
              <w:rPr>
                <w:rFonts w:ascii="Arial" w:eastAsia="Times New Roman" w:hAnsi="Arial" w:cs="Arial"/>
                <w:color w:val="555555"/>
                <w:sz w:val="18"/>
                <w:szCs w:val="18"/>
                <w:lang w:eastAsia="en-GB"/>
              </w:rPr>
            </w:pPr>
            <w:r w:rsidRPr="00E602EE">
              <w:rPr>
                <w:rFonts w:ascii="Arial" w:eastAsia="Times New Roman" w:hAnsi="Arial" w:cs="Arial"/>
                <w:color w:val="555555"/>
                <w:sz w:val="18"/>
                <w:szCs w:val="18"/>
                <w:lang w:eastAsia="en-GB"/>
              </w:rPr>
              <w:t>Asian / Asian British</w:t>
            </w:r>
          </w:p>
        </w:tc>
        <w:tc>
          <w:tcPr>
            <w:tcW w:w="0" w:type="auto"/>
            <w:shd w:val="clear" w:color="auto" w:fill="FFFFFF"/>
            <w:hideMark/>
          </w:tcPr>
          <w:p w:rsidR="00E602EE" w:rsidRPr="00E602EE" w:rsidRDefault="00E602EE" w:rsidP="00E602EE">
            <w:pPr>
              <w:spacing w:after="0" w:line="240" w:lineRule="auto"/>
              <w:jc w:val="center"/>
              <w:textAlignment w:val="top"/>
              <w:rPr>
                <w:rFonts w:ascii="Arial" w:eastAsia="Times New Roman" w:hAnsi="Arial" w:cs="Arial"/>
                <w:color w:val="555555"/>
                <w:sz w:val="18"/>
                <w:szCs w:val="18"/>
                <w:lang w:eastAsia="en-GB"/>
              </w:rPr>
            </w:pPr>
            <w:r w:rsidRPr="00E602EE">
              <w:rPr>
                <w:rFonts w:ascii="Arial" w:eastAsia="Times New Roman" w:hAnsi="Arial" w:cs="Arial"/>
                <w:color w:val="555555"/>
                <w:sz w:val="18"/>
                <w:szCs w:val="18"/>
                <w:lang w:eastAsia="en-GB"/>
              </w:rPr>
              <w:t>110</w:t>
            </w:r>
          </w:p>
        </w:tc>
        <w:tc>
          <w:tcPr>
            <w:tcW w:w="0" w:type="auto"/>
            <w:tcMar>
              <w:top w:w="0" w:type="dxa"/>
              <w:left w:w="30" w:type="dxa"/>
              <w:bottom w:w="0" w:type="dxa"/>
              <w:right w:w="30" w:type="dxa"/>
            </w:tcMar>
            <w:hideMark/>
          </w:tcPr>
          <w:p w:rsidR="00E602EE" w:rsidRPr="00E602EE" w:rsidRDefault="00E602EE" w:rsidP="00E602EE">
            <w:pPr>
              <w:spacing w:after="0" w:line="240" w:lineRule="auto"/>
              <w:textAlignment w:val="top"/>
              <w:rPr>
                <w:rFonts w:ascii="Arial" w:eastAsia="Times New Roman" w:hAnsi="Arial" w:cs="Arial"/>
                <w:color w:val="0078D0"/>
                <w:sz w:val="18"/>
                <w:szCs w:val="18"/>
                <w:lang w:eastAsia="en-GB"/>
              </w:rPr>
            </w:pPr>
            <w:r w:rsidRPr="00E602EE">
              <w:rPr>
                <w:rFonts w:ascii="Arial" w:eastAsia="Times New Roman" w:hAnsi="Arial" w:cs="Arial"/>
                <w:color w:val="0078D0"/>
                <w:sz w:val="18"/>
                <w:szCs w:val="18"/>
                <w:lang w:eastAsia="en-GB"/>
              </w:rPr>
              <w:t>2.9 %</w:t>
            </w:r>
          </w:p>
        </w:tc>
      </w:tr>
      <w:tr w:rsidR="00E602EE" w:rsidRPr="00E602EE" w:rsidTr="00E602EE">
        <w:tc>
          <w:tcPr>
            <w:tcW w:w="0" w:type="auto"/>
            <w:tcMar>
              <w:top w:w="0" w:type="dxa"/>
              <w:left w:w="30" w:type="dxa"/>
              <w:bottom w:w="0" w:type="dxa"/>
              <w:right w:w="30" w:type="dxa"/>
            </w:tcMar>
            <w:hideMark/>
          </w:tcPr>
          <w:p w:rsidR="00E602EE" w:rsidRPr="00E602EE" w:rsidRDefault="00E602EE" w:rsidP="00E602EE">
            <w:pPr>
              <w:spacing w:after="0" w:line="240" w:lineRule="auto"/>
              <w:textAlignment w:val="top"/>
              <w:rPr>
                <w:rFonts w:ascii="Arial" w:eastAsia="Times New Roman" w:hAnsi="Arial" w:cs="Arial"/>
                <w:color w:val="0078D0"/>
                <w:sz w:val="18"/>
                <w:szCs w:val="18"/>
                <w:lang w:eastAsia="en-GB"/>
              </w:rPr>
            </w:pPr>
          </w:p>
        </w:tc>
        <w:tc>
          <w:tcPr>
            <w:tcW w:w="0" w:type="auto"/>
            <w:shd w:val="clear" w:color="auto" w:fill="FFFFFF"/>
            <w:hideMark/>
          </w:tcPr>
          <w:p w:rsidR="00E602EE" w:rsidRPr="00E602EE" w:rsidRDefault="00E602EE" w:rsidP="00E602EE">
            <w:pPr>
              <w:spacing w:after="0" w:line="240" w:lineRule="auto"/>
              <w:jc w:val="center"/>
              <w:textAlignment w:val="top"/>
              <w:rPr>
                <w:rFonts w:ascii="Arial" w:eastAsia="Times New Roman" w:hAnsi="Arial" w:cs="Arial"/>
                <w:color w:val="555555"/>
                <w:sz w:val="18"/>
                <w:szCs w:val="18"/>
                <w:lang w:eastAsia="en-GB"/>
              </w:rPr>
            </w:pPr>
            <w:r w:rsidRPr="00E602EE">
              <w:rPr>
                <w:rFonts w:ascii="Arial" w:eastAsia="Times New Roman" w:hAnsi="Arial" w:cs="Arial"/>
                <w:color w:val="555555"/>
                <w:sz w:val="18"/>
                <w:szCs w:val="18"/>
                <w:lang w:eastAsia="en-GB"/>
              </w:rPr>
              <w:t>Black / African / Caribbean / Black British</w:t>
            </w:r>
          </w:p>
        </w:tc>
        <w:tc>
          <w:tcPr>
            <w:tcW w:w="0" w:type="auto"/>
            <w:shd w:val="clear" w:color="auto" w:fill="FFFFFF"/>
            <w:hideMark/>
          </w:tcPr>
          <w:p w:rsidR="00E602EE" w:rsidRPr="00E602EE" w:rsidRDefault="00E602EE" w:rsidP="00E602EE">
            <w:pPr>
              <w:spacing w:after="0" w:line="240" w:lineRule="auto"/>
              <w:jc w:val="center"/>
              <w:textAlignment w:val="top"/>
              <w:rPr>
                <w:rFonts w:ascii="Arial" w:eastAsia="Times New Roman" w:hAnsi="Arial" w:cs="Arial"/>
                <w:color w:val="555555"/>
                <w:sz w:val="18"/>
                <w:szCs w:val="18"/>
                <w:lang w:eastAsia="en-GB"/>
              </w:rPr>
            </w:pPr>
            <w:r w:rsidRPr="00E602EE">
              <w:rPr>
                <w:rFonts w:ascii="Arial" w:eastAsia="Times New Roman" w:hAnsi="Arial" w:cs="Arial"/>
                <w:color w:val="555555"/>
                <w:sz w:val="18"/>
                <w:szCs w:val="18"/>
                <w:lang w:eastAsia="en-GB"/>
              </w:rPr>
              <w:t>111</w:t>
            </w:r>
          </w:p>
        </w:tc>
        <w:tc>
          <w:tcPr>
            <w:tcW w:w="0" w:type="auto"/>
            <w:tcMar>
              <w:top w:w="0" w:type="dxa"/>
              <w:left w:w="30" w:type="dxa"/>
              <w:bottom w:w="0" w:type="dxa"/>
              <w:right w:w="30" w:type="dxa"/>
            </w:tcMar>
            <w:hideMark/>
          </w:tcPr>
          <w:p w:rsidR="00E602EE" w:rsidRPr="00E602EE" w:rsidRDefault="00E602EE" w:rsidP="00E602EE">
            <w:pPr>
              <w:spacing w:after="0" w:line="240" w:lineRule="auto"/>
              <w:textAlignment w:val="top"/>
              <w:rPr>
                <w:rFonts w:ascii="Arial" w:eastAsia="Times New Roman" w:hAnsi="Arial" w:cs="Arial"/>
                <w:color w:val="0078D0"/>
                <w:sz w:val="18"/>
                <w:szCs w:val="18"/>
                <w:lang w:eastAsia="en-GB"/>
              </w:rPr>
            </w:pPr>
            <w:r w:rsidRPr="00E602EE">
              <w:rPr>
                <w:rFonts w:ascii="Arial" w:eastAsia="Times New Roman" w:hAnsi="Arial" w:cs="Arial"/>
                <w:color w:val="0078D0"/>
                <w:sz w:val="18"/>
                <w:szCs w:val="18"/>
                <w:lang w:eastAsia="en-GB"/>
              </w:rPr>
              <w:t>2.9 %</w:t>
            </w:r>
          </w:p>
        </w:tc>
      </w:tr>
      <w:tr w:rsidR="00E602EE" w:rsidRPr="00E602EE" w:rsidTr="00E602EE">
        <w:tc>
          <w:tcPr>
            <w:tcW w:w="0" w:type="auto"/>
            <w:tcMar>
              <w:top w:w="0" w:type="dxa"/>
              <w:left w:w="30" w:type="dxa"/>
              <w:bottom w:w="0" w:type="dxa"/>
              <w:right w:w="30" w:type="dxa"/>
            </w:tcMar>
            <w:hideMark/>
          </w:tcPr>
          <w:p w:rsidR="00E602EE" w:rsidRPr="00E602EE" w:rsidRDefault="00E602EE" w:rsidP="00E602EE">
            <w:pPr>
              <w:spacing w:after="0" w:line="240" w:lineRule="auto"/>
              <w:textAlignment w:val="top"/>
              <w:rPr>
                <w:rFonts w:ascii="Arial" w:eastAsia="Times New Roman" w:hAnsi="Arial" w:cs="Arial"/>
                <w:color w:val="0078D0"/>
                <w:sz w:val="18"/>
                <w:szCs w:val="18"/>
                <w:lang w:eastAsia="en-GB"/>
              </w:rPr>
            </w:pPr>
          </w:p>
        </w:tc>
        <w:tc>
          <w:tcPr>
            <w:tcW w:w="0" w:type="auto"/>
            <w:shd w:val="clear" w:color="auto" w:fill="FFFFFF"/>
            <w:hideMark/>
          </w:tcPr>
          <w:p w:rsidR="00E602EE" w:rsidRPr="00E602EE" w:rsidRDefault="00E602EE" w:rsidP="00E602EE">
            <w:pPr>
              <w:spacing w:after="0" w:line="240" w:lineRule="auto"/>
              <w:jc w:val="center"/>
              <w:textAlignment w:val="top"/>
              <w:rPr>
                <w:rFonts w:ascii="Arial" w:eastAsia="Times New Roman" w:hAnsi="Arial" w:cs="Arial"/>
                <w:color w:val="555555"/>
                <w:sz w:val="18"/>
                <w:szCs w:val="18"/>
                <w:lang w:eastAsia="en-GB"/>
              </w:rPr>
            </w:pPr>
            <w:r w:rsidRPr="00E602EE">
              <w:rPr>
                <w:rFonts w:ascii="Arial" w:eastAsia="Times New Roman" w:hAnsi="Arial" w:cs="Arial"/>
                <w:color w:val="555555"/>
                <w:sz w:val="18"/>
                <w:szCs w:val="18"/>
                <w:lang w:eastAsia="en-GB"/>
              </w:rPr>
              <w:t>Other</w:t>
            </w:r>
          </w:p>
        </w:tc>
        <w:tc>
          <w:tcPr>
            <w:tcW w:w="0" w:type="auto"/>
            <w:shd w:val="clear" w:color="auto" w:fill="FFFFFF"/>
            <w:hideMark/>
          </w:tcPr>
          <w:p w:rsidR="00E602EE" w:rsidRPr="00E602EE" w:rsidRDefault="00E602EE" w:rsidP="00E602EE">
            <w:pPr>
              <w:spacing w:after="0" w:line="240" w:lineRule="auto"/>
              <w:jc w:val="center"/>
              <w:textAlignment w:val="top"/>
              <w:rPr>
                <w:rFonts w:ascii="Arial" w:eastAsia="Times New Roman" w:hAnsi="Arial" w:cs="Arial"/>
                <w:color w:val="555555"/>
                <w:sz w:val="18"/>
                <w:szCs w:val="18"/>
                <w:lang w:eastAsia="en-GB"/>
              </w:rPr>
            </w:pPr>
            <w:r w:rsidRPr="00E602EE">
              <w:rPr>
                <w:rFonts w:ascii="Arial" w:eastAsia="Times New Roman" w:hAnsi="Arial" w:cs="Arial"/>
                <w:color w:val="555555"/>
                <w:sz w:val="18"/>
                <w:szCs w:val="18"/>
                <w:lang w:eastAsia="en-GB"/>
              </w:rPr>
              <w:t>25</w:t>
            </w:r>
          </w:p>
        </w:tc>
        <w:tc>
          <w:tcPr>
            <w:tcW w:w="0" w:type="auto"/>
            <w:tcMar>
              <w:top w:w="0" w:type="dxa"/>
              <w:left w:w="30" w:type="dxa"/>
              <w:bottom w:w="0" w:type="dxa"/>
              <w:right w:w="30" w:type="dxa"/>
            </w:tcMar>
            <w:hideMark/>
          </w:tcPr>
          <w:p w:rsidR="00E602EE" w:rsidRPr="00E602EE" w:rsidRDefault="00E602EE" w:rsidP="00E602EE">
            <w:pPr>
              <w:spacing w:after="0" w:line="240" w:lineRule="auto"/>
              <w:textAlignment w:val="top"/>
              <w:rPr>
                <w:rFonts w:ascii="Arial" w:eastAsia="Times New Roman" w:hAnsi="Arial" w:cs="Arial"/>
                <w:color w:val="0078D0"/>
                <w:sz w:val="18"/>
                <w:szCs w:val="18"/>
                <w:lang w:eastAsia="en-GB"/>
              </w:rPr>
            </w:pPr>
            <w:r w:rsidRPr="00E602EE">
              <w:rPr>
                <w:rFonts w:ascii="Arial" w:eastAsia="Times New Roman" w:hAnsi="Arial" w:cs="Arial"/>
                <w:color w:val="0078D0"/>
                <w:sz w:val="18"/>
                <w:szCs w:val="18"/>
                <w:lang w:eastAsia="en-GB"/>
              </w:rPr>
              <w:t>0.7 %</w:t>
            </w:r>
          </w:p>
        </w:tc>
      </w:tr>
      <w:tr w:rsidR="00E602EE" w:rsidRPr="00E602EE" w:rsidTr="00E602EE">
        <w:tc>
          <w:tcPr>
            <w:tcW w:w="0" w:type="auto"/>
            <w:tcMar>
              <w:top w:w="0" w:type="dxa"/>
              <w:left w:w="30" w:type="dxa"/>
              <w:bottom w:w="0" w:type="dxa"/>
              <w:right w:w="30" w:type="dxa"/>
            </w:tcMar>
            <w:hideMark/>
          </w:tcPr>
          <w:p w:rsidR="00E602EE" w:rsidRPr="00E602EE" w:rsidRDefault="00E602EE" w:rsidP="00E602EE">
            <w:pPr>
              <w:spacing w:after="0" w:line="240" w:lineRule="auto"/>
              <w:textAlignment w:val="top"/>
              <w:rPr>
                <w:rFonts w:ascii="Arial" w:eastAsia="Times New Roman" w:hAnsi="Arial" w:cs="Arial"/>
                <w:color w:val="0078D0"/>
                <w:sz w:val="18"/>
                <w:szCs w:val="18"/>
                <w:lang w:eastAsia="en-GB"/>
              </w:rPr>
            </w:pPr>
          </w:p>
        </w:tc>
        <w:tc>
          <w:tcPr>
            <w:tcW w:w="0" w:type="auto"/>
            <w:shd w:val="clear" w:color="auto" w:fill="FFFFFF"/>
            <w:hideMark/>
          </w:tcPr>
          <w:p w:rsidR="00E602EE" w:rsidRPr="00E602EE" w:rsidRDefault="00E602EE" w:rsidP="00E602EE">
            <w:pPr>
              <w:spacing w:after="0" w:line="240" w:lineRule="auto"/>
              <w:jc w:val="center"/>
              <w:textAlignment w:val="top"/>
              <w:rPr>
                <w:rFonts w:ascii="Arial" w:eastAsia="Times New Roman" w:hAnsi="Arial" w:cs="Arial"/>
                <w:color w:val="555555"/>
                <w:sz w:val="18"/>
                <w:szCs w:val="18"/>
                <w:lang w:eastAsia="en-GB"/>
              </w:rPr>
            </w:pPr>
            <w:r w:rsidRPr="00E602EE">
              <w:rPr>
                <w:rFonts w:ascii="Arial" w:eastAsia="Times New Roman" w:hAnsi="Arial" w:cs="Arial"/>
                <w:color w:val="555555"/>
                <w:sz w:val="18"/>
                <w:szCs w:val="18"/>
                <w:lang w:eastAsia="en-GB"/>
              </w:rPr>
              <w:t>Not known</w:t>
            </w:r>
          </w:p>
        </w:tc>
        <w:tc>
          <w:tcPr>
            <w:tcW w:w="0" w:type="auto"/>
            <w:shd w:val="clear" w:color="auto" w:fill="FFFFFF"/>
            <w:hideMark/>
          </w:tcPr>
          <w:p w:rsidR="00E602EE" w:rsidRPr="00E602EE" w:rsidRDefault="00E602EE" w:rsidP="00E602EE">
            <w:pPr>
              <w:spacing w:after="0" w:line="240" w:lineRule="auto"/>
              <w:jc w:val="center"/>
              <w:textAlignment w:val="top"/>
              <w:rPr>
                <w:rFonts w:ascii="Arial" w:eastAsia="Times New Roman" w:hAnsi="Arial" w:cs="Arial"/>
                <w:color w:val="555555"/>
                <w:sz w:val="18"/>
                <w:szCs w:val="18"/>
                <w:lang w:eastAsia="en-GB"/>
              </w:rPr>
            </w:pPr>
            <w:r w:rsidRPr="00E602EE">
              <w:rPr>
                <w:rFonts w:ascii="Arial" w:eastAsia="Times New Roman" w:hAnsi="Arial" w:cs="Arial"/>
                <w:color w:val="555555"/>
                <w:sz w:val="18"/>
                <w:szCs w:val="18"/>
                <w:lang w:eastAsia="en-GB"/>
              </w:rPr>
              <w:t>906</w:t>
            </w:r>
          </w:p>
        </w:tc>
        <w:tc>
          <w:tcPr>
            <w:tcW w:w="0" w:type="auto"/>
            <w:tcMar>
              <w:top w:w="0" w:type="dxa"/>
              <w:left w:w="30" w:type="dxa"/>
              <w:bottom w:w="0" w:type="dxa"/>
              <w:right w:w="30" w:type="dxa"/>
            </w:tcMar>
            <w:hideMark/>
          </w:tcPr>
          <w:p w:rsidR="00E602EE" w:rsidRPr="00E602EE" w:rsidRDefault="00E602EE" w:rsidP="00E602EE">
            <w:pPr>
              <w:spacing w:after="0" w:line="240" w:lineRule="auto"/>
              <w:textAlignment w:val="top"/>
              <w:rPr>
                <w:rFonts w:ascii="Arial" w:eastAsia="Times New Roman" w:hAnsi="Arial" w:cs="Arial"/>
                <w:color w:val="0078D0"/>
                <w:sz w:val="18"/>
                <w:szCs w:val="18"/>
                <w:lang w:eastAsia="en-GB"/>
              </w:rPr>
            </w:pPr>
            <w:r w:rsidRPr="00E602EE">
              <w:rPr>
                <w:rFonts w:ascii="Arial" w:eastAsia="Times New Roman" w:hAnsi="Arial" w:cs="Arial"/>
                <w:color w:val="0078D0"/>
                <w:sz w:val="18"/>
                <w:szCs w:val="18"/>
                <w:lang w:eastAsia="en-GB"/>
              </w:rPr>
              <w:t>23.8 %</w:t>
            </w:r>
          </w:p>
        </w:tc>
      </w:tr>
    </w:tbl>
    <w:p w:rsidR="00E602EE" w:rsidRDefault="00E602EE" w:rsidP="00B95295">
      <w:pPr>
        <w:pStyle w:val="ListParagraph"/>
        <w:numPr>
          <w:ilvl w:val="0"/>
          <w:numId w:val="17"/>
        </w:numPr>
        <w:rPr>
          <w:rFonts w:ascii="Arial" w:hAnsi="Arial" w:cs="Arial"/>
          <w:sz w:val="24"/>
          <w:szCs w:val="24"/>
        </w:rPr>
      </w:pPr>
    </w:p>
    <w:p w:rsidR="00B95295" w:rsidRDefault="00B95295" w:rsidP="003D0ECF">
      <w:pPr>
        <w:pStyle w:val="ListParagraph"/>
        <w:ind w:left="1080"/>
        <w:rPr>
          <w:rFonts w:ascii="Arial" w:hAnsi="Arial" w:cs="Arial"/>
          <w:sz w:val="24"/>
          <w:szCs w:val="24"/>
        </w:rPr>
      </w:pPr>
    </w:p>
    <w:p w:rsidR="00B95295" w:rsidRPr="00B95295" w:rsidRDefault="00B95295" w:rsidP="00B95295">
      <w:pPr>
        <w:rPr>
          <w:rFonts w:ascii="Arial" w:hAnsi="Arial" w:cs="Arial"/>
          <w:b/>
          <w:sz w:val="24"/>
          <w:szCs w:val="24"/>
        </w:rPr>
      </w:pPr>
      <w:r w:rsidRPr="00B95295">
        <w:rPr>
          <w:rFonts w:ascii="Arial" w:hAnsi="Arial" w:cs="Arial"/>
          <w:b/>
          <w:sz w:val="24"/>
          <w:szCs w:val="24"/>
        </w:rPr>
        <w:t xml:space="preserve">Locally </w:t>
      </w:r>
    </w:p>
    <w:p w:rsidR="00B95295" w:rsidRDefault="00B95295" w:rsidP="00B95295">
      <w:pPr>
        <w:pStyle w:val="ListParagraph"/>
        <w:numPr>
          <w:ilvl w:val="0"/>
          <w:numId w:val="4"/>
        </w:numPr>
        <w:rPr>
          <w:rFonts w:ascii="Arial" w:hAnsi="Arial" w:cs="Arial"/>
          <w:sz w:val="24"/>
          <w:szCs w:val="24"/>
        </w:rPr>
      </w:pPr>
      <w:r w:rsidRPr="00B95295">
        <w:rPr>
          <w:rFonts w:ascii="Arial" w:hAnsi="Arial" w:cs="Arial"/>
          <w:sz w:val="24"/>
          <w:szCs w:val="24"/>
        </w:rPr>
        <w:t>In Brighton &amp; Hove there are 7,600 people working in adult social care</w:t>
      </w:r>
      <w:r w:rsidRPr="00B95295">
        <w:rPr>
          <w:rFonts w:ascii="Arial" w:hAnsi="Arial" w:cs="Arial"/>
          <w:sz w:val="24"/>
          <w:szCs w:val="24"/>
          <w:vertAlign w:val="superscript"/>
        </w:rPr>
        <w:t xml:space="preserve"> 1</w:t>
      </w:r>
      <w:r w:rsidRPr="00B95295">
        <w:rPr>
          <w:rFonts w:ascii="Arial" w:hAnsi="Arial" w:cs="Arial"/>
          <w:sz w:val="24"/>
          <w:szCs w:val="24"/>
        </w:rPr>
        <w:t xml:space="preserve">. </w:t>
      </w:r>
      <w:r>
        <w:rPr>
          <w:rFonts w:ascii="Arial" w:hAnsi="Arial" w:cs="Arial"/>
          <w:sz w:val="24"/>
          <w:szCs w:val="24"/>
        </w:rPr>
        <w:t>O</w:t>
      </w:r>
      <w:r w:rsidRPr="00B95295">
        <w:rPr>
          <w:rFonts w:ascii="Arial" w:hAnsi="Arial" w:cs="Arial"/>
          <w:sz w:val="24"/>
          <w:szCs w:val="24"/>
        </w:rPr>
        <w:t xml:space="preserve">f these 900 work for </w:t>
      </w:r>
      <w:r>
        <w:rPr>
          <w:rFonts w:ascii="Arial" w:hAnsi="Arial" w:cs="Arial"/>
          <w:sz w:val="24"/>
          <w:szCs w:val="24"/>
        </w:rPr>
        <w:t>BHCC</w:t>
      </w:r>
      <w:r w:rsidRPr="00B95295">
        <w:rPr>
          <w:rFonts w:ascii="Arial" w:hAnsi="Arial" w:cs="Arial"/>
          <w:sz w:val="24"/>
          <w:szCs w:val="24"/>
        </w:rPr>
        <w:t>, approximately split 50/50 between assessment and provider services</w:t>
      </w:r>
      <w:r w:rsidRPr="00B95295">
        <w:rPr>
          <w:rFonts w:ascii="Arial" w:hAnsi="Arial" w:cs="Arial"/>
          <w:sz w:val="24"/>
          <w:szCs w:val="24"/>
          <w:vertAlign w:val="superscript"/>
        </w:rPr>
        <w:t>1</w:t>
      </w:r>
      <w:r w:rsidRPr="00B95295">
        <w:rPr>
          <w:rFonts w:ascii="Arial" w:hAnsi="Arial" w:cs="Arial"/>
          <w:sz w:val="24"/>
          <w:szCs w:val="24"/>
        </w:rPr>
        <w:t xml:space="preserve">. </w:t>
      </w:r>
    </w:p>
    <w:p w:rsidR="00FE692E" w:rsidRDefault="00FE692E" w:rsidP="00B95295">
      <w:pPr>
        <w:pStyle w:val="ListParagraph"/>
        <w:numPr>
          <w:ilvl w:val="0"/>
          <w:numId w:val="4"/>
        </w:numPr>
        <w:rPr>
          <w:rFonts w:ascii="Arial" w:hAnsi="Arial" w:cs="Arial"/>
          <w:sz w:val="24"/>
          <w:szCs w:val="24"/>
        </w:rPr>
      </w:pPr>
      <w:r>
        <w:rPr>
          <w:rFonts w:ascii="Arial" w:hAnsi="Arial" w:cs="Arial"/>
          <w:sz w:val="24"/>
          <w:szCs w:val="24"/>
        </w:rPr>
        <w:t>CQC has 157 regulated Social care providers in Brighton &amp; Hove.</w:t>
      </w:r>
    </w:p>
    <w:p w:rsidR="00FE692E" w:rsidRDefault="00FE692E" w:rsidP="00B95295">
      <w:pPr>
        <w:pStyle w:val="ListParagraph"/>
        <w:numPr>
          <w:ilvl w:val="0"/>
          <w:numId w:val="4"/>
        </w:numPr>
        <w:rPr>
          <w:rFonts w:ascii="Arial" w:hAnsi="Arial" w:cs="Arial"/>
          <w:sz w:val="24"/>
          <w:szCs w:val="24"/>
        </w:rPr>
      </w:pPr>
      <w:r>
        <w:rPr>
          <w:rFonts w:ascii="Arial" w:hAnsi="Arial" w:cs="Arial"/>
          <w:sz w:val="24"/>
          <w:szCs w:val="24"/>
        </w:rPr>
        <w:t>Skills for Care estimate 250 establishments in Brighton &amp; Hove.</w:t>
      </w:r>
    </w:p>
    <w:p w:rsidR="00FE692E" w:rsidRPr="00B95295" w:rsidRDefault="00FE692E" w:rsidP="00B95295">
      <w:pPr>
        <w:pStyle w:val="ListParagraph"/>
        <w:numPr>
          <w:ilvl w:val="0"/>
          <w:numId w:val="4"/>
        </w:numPr>
        <w:rPr>
          <w:rFonts w:ascii="Arial" w:hAnsi="Arial" w:cs="Arial"/>
          <w:sz w:val="24"/>
          <w:szCs w:val="24"/>
        </w:rPr>
      </w:pPr>
      <w:r>
        <w:rPr>
          <w:rFonts w:ascii="Arial" w:hAnsi="Arial" w:cs="Arial"/>
          <w:sz w:val="24"/>
          <w:szCs w:val="24"/>
        </w:rPr>
        <w:t>The National Minimum Data Set has 110 (44% of estimated) establishments, 71 of whom are regulated (45% of total regulated establishments).</w:t>
      </w:r>
    </w:p>
    <w:p w:rsidR="0025132F" w:rsidRPr="002D461F" w:rsidRDefault="0025132F" w:rsidP="002D461F">
      <w:pPr>
        <w:pStyle w:val="ListParagraph"/>
        <w:numPr>
          <w:ilvl w:val="0"/>
          <w:numId w:val="4"/>
        </w:numPr>
        <w:rPr>
          <w:rFonts w:ascii="Arial" w:hAnsi="Arial" w:cs="Arial"/>
          <w:sz w:val="24"/>
          <w:szCs w:val="24"/>
        </w:rPr>
      </w:pPr>
      <w:r w:rsidRPr="002D461F">
        <w:rPr>
          <w:rFonts w:ascii="Arial" w:hAnsi="Arial" w:cs="Arial"/>
          <w:sz w:val="24"/>
          <w:szCs w:val="24"/>
        </w:rPr>
        <w:t>The average wage in Brighton in 2009/</w:t>
      </w:r>
      <w:r w:rsidR="003A3178" w:rsidRPr="002D461F">
        <w:rPr>
          <w:rFonts w:ascii="Arial" w:hAnsi="Arial" w:cs="Arial"/>
          <w:sz w:val="24"/>
          <w:szCs w:val="24"/>
        </w:rPr>
        <w:t xml:space="preserve">2010 was </w:t>
      </w:r>
      <w:r w:rsidRPr="002D461F">
        <w:rPr>
          <w:rFonts w:ascii="Arial" w:hAnsi="Arial" w:cs="Arial"/>
          <w:sz w:val="24"/>
          <w:szCs w:val="24"/>
        </w:rPr>
        <w:t>£28,300</w:t>
      </w:r>
      <w:r w:rsidR="00071870">
        <w:rPr>
          <w:rFonts w:ascii="Arial" w:hAnsi="Arial" w:cs="Arial"/>
          <w:sz w:val="24"/>
          <w:szCs w:val="24"/>
        </w:rPr>
        <w:t xml:space="preserve"> compared to </w:t>
      </w:r>
      <w:r w:rsidR="00B949C0">
        <w:rPr>
          <w:rFonts w:ascii="Arial" w:hAnsi="Arial" w:cs="Arial"/>
          <w:sz w:val="24"/>
          <w:szCs w:val="24"/>
        </w:rPr>
        <w:t>the</w:t>
      </w:r>
      <w:r w:rsidR="00071870">
        <w:rPr>
          <w:rFonts w:ascii="Arial" w:hAnsi="Arial" w:cs="Arial"/>
          <w:sz w:val="24"/>
          <w:szCs w:val="24"/>
        </w:rPr>
        <w:t xml:space="preserve"> average wage of a social care worker of approx. £17,00</w:t>
      </w:r>
      <w:r w:rsidR="00B949C0">
        <w:rPr>
          <w:rFonts w:ascii="Arial" w:hAnsi="Arial" w:cs="Arial"/>
          <w:sz w:val="24"/>
          <w:szCs w:val="24"/>
        </w:rPr>
        <w:t xml:space="preserve">0 which means that we are competing against </w:t>
      </w:r>
      <w:r w:rsidR="0073362F">
        <w:rPr>
          <w:rFonts w:ascii="Arial" w:hAnsi="Arial" w:cs="Arial"/>
          <w:sz w:val="24"/>
          <w:szCs w:val="24"/>
        </w:rPr>
        <w:t xml:space="preserve">many </w:t>
      </w:r>
      <w:r w:rsidR="00B949C0">
        <w:rPr>
          <w:rFonts w:ascii="Arial" w:hAnsi="Arial" w:cs="Arial"/>
          <w:sz w:val="24"/>
          <w:szCs w:val="24"/>
        </w:rPr>
        <w:t>more attractive and better paid sector</w:t>
      </w:r>
      <w:r w:rsidR="00745920">
        <w:rPr>
          <w:rFonts w:ascii="Arial" w:hAnsi="Arial" w:cs="Arial"/>
          <w:sz w:val="24"/>
          <w:szCs w:val="24"/>
        </w:rPr>
        <w:t>s</w:t>
      </w:r>
      <w:r w:rsidR="0073362F">
        <w:rPr>
          <w:rFonts w:ascii="Arial" w:hAnsi="Arial" w:cs="Arial"/>
          <w:sz w:val="24"/>
          <w:szCs w:val="24"/>
        </w:rPr>
        <w:t>.</w:t>
      </w:r>
    </w:p>
    <w:p w:rsidR="007C0786" w:rsidRDefault="007C0786" w:rsidP="002D461F">
      <w:pPr>
        <w:pStyle w:val="ListParagraph"/>
        <w:numPr>
          <w:ilvl w:val="0"/>
          <w:numId w:val="4"/>
        </w:numPr>
        <w:rPr>
          <w:rFonts w:ascii="Arial" w:hAnsi="Arial" w:cs="Arial"/>
          <w:sz w:val="24"/>
          <w:szCs w:val="24"/>
        </w:rPr>
      </w:pPr>
      <w:r w:rsidRPr="002D461F">
        <w:rPr>
          <w:rFonts w:ascii="Arial" w:hAnsi="Arial" w:cs="Arial"/>
          <w:sz w:val="24"/>
          <w:szCs w:val="24"/>
        </w:rPr>
        <w:t>A search on the Brighton Evening Argus website on 17/4/15 s</w:t>
      </w:r>
      <w:r w:rsidR="00EC2232">
        <w:rPr>
          <w:rFonts w:ascii="Arial" w:hAnsi="Arial" w:cs="Arial"/>
          <w:sz w:val="24"/>
          <w:szCs w:val="24"/>
        </w:rPr>
        <w:t>howed three</w:t>
      </w:r>
      <w:r w:rsidRPr="002D461F">
        <w:rPr>
          <w:rFonts w:ascii="Arial" w:hAnsi="Arial" w:cs="Arial"/>
          <w:sz w:val="24"/>
          <w:szCs w:val="24"/>
        </w:rPr>
        <w:t xml:space="preserve"> adverts for support workers advertised at £6.74 and</w:t>
      </w:r>
      <w:r w:rsidR="00EC2232">
        <w:rPr>
          <w:rFonts w:ascii="Arial" w:hAnsi="Arial" w:cs="Arial"/>
          <w:sz w:val="24"/>
          <w:szCs w:val="24"/>
        </w:rPr>
        <w:t xml:space="preserve"> hour (twice) and a post offering</w:t>
      </w:r>
      <w:r w:rsidRPr="002D461F">
        <w:rPr>
          <w:rFonts w:ascii="Arial" w:hAnsi="Arial" w:cs="Arial"/>
          <w:sz w:val="24"/>
          <w:szCs w:val="24"/>
        </w:rPr>
        <w:t xml:space="preserve"> £9</w:t>
      </w:r>
      <w:r w:rsidR="00EC2232">
        <w:rPr>
          <w:rFonts w:ascii="Arial" w:hAnsi="Arial" w:cs="Arial"/>
          <w:sz w:val="24"/>
          <w:szCs w:val="24"/>
        </w:rPr>
        <w:t xml:space="preserve"> </w:t>
      </w:r>
      <w:r w:rsidRPr="002D461F">
        <w:rPr>
          <w:rFonts w:ascii="Arial" w:hAnsi="Arial" w:cs="Arial"/>
          <w:sz w:val="24"/>
          <w:szCs w:val="24"/>
        </w:rPr>
        <w:t>-</w:t>
      </w:r>
      <w:r w:rsidR="00EC2232">
        <w:rPr>
          <w:rFonts w:ascii="Arial" w:hAnsi="Arial" w:cs="Arial"/>
          <w:sz w:val="24"/>
          <w:szCs w:val="24"/>
        </w:rPr>
        <w:t xml:space="preserve"> </w:t>
      </w:r>
      <w:r w:rsidRPr="002D461F">
        <w:rPr>
          <w:rFonts w:ascii="Arial" w:hAnsi="Arial" w:cs="Arial"/>
          <w:sz w:val="24"/>
          <w:szCs w:val="24"/>
        </w:rPr>
        <w:t>£11 an hour.</w:t>
      </w:r>
    </w:p>
    <w:p w:rsidR="007D0C58" w:rsidRDefault="007D0C58" w:rsidP="007D0C58">
      <w:pPr>
        <w:rPr>
          <w:rFonts w:ascii="Arial" w:hAnsi="Arial" w:cs="Arial"/>
          <w:b/>
          <w:sz w:val="24"/>
          <w:szCs w:val="24"/>
        </w:rPr>
      </w:pPr>
      <w:r w:rsidRPr="007D0C58">
        <w:rPr>
          <w:rFonts w:ascii="Arial" w:hAnsi="Arial" w:cs="Arial"/>
          <w:b/>
          <w:sz w:val="24"/>
          <w:szCs w:val="24"/>
        </w:rPr>
        <w:t>Recruitment and Retention</w:t>
      </w:r>
    </w:p>
    <w:p w:rsidR="00B95295" w:rsidRPr="00D2351A" w:rsidRDefault="00B95295" w:rsidP="00B95295">
      <w:pPr>
        <w:rPr>
          <w:rFonts w:ascii="Arial" w:hAnsi="Arial" w:cs="Arial"/>
          <w:b/>
          <w:sz w:val="24"/>
          <w:szCs w:val="24"/>
        </w:rPr>
      </w:pPr>
      <w:r w:rsidRPr="00D2351A">
        <w:rPr>
          <w:rFonts w:ascii="Arial" w:hAnsi="Arial" w:cs="Arial"/>
          <w:b/>
          <w:sz w:val="24"/>
          <w:szCs w:val="24"/>
        </w:rPr>
        <w:t>Nationally</w:t>
      </w:r>
    </w:p>
    <w:p w:rsidR="00E62620" w:rsidRPr="00E62620" w:rsidRDefault="00E62620" w:rsidP="00E62620">
      <w:pPr>
        <w:pStyle w:val="ListParagraph"/>
        <w:numPr>
          <w:ilvl w:val="0"/>
          <w:numId w:val="16"/>
        </w:numPr>
        <w:rPr>
          <w:rFonts w:ascii="Arial" w:hAnsi="Arial" w:cs="Arial"/>
          <w:sz w:val="24"/>
          <w:szCs w:val="24"/>
        </w:rPr>
      </w:pPr>
      <w:r>
        <w:rPr>
          <w:rFonts w:ascii="Arial" w:hAnsi="Arial" w:cs="Arial"/>
          <w:sz w:val="24"/>
          <w:szCs w:val="24"/>
        </w:rPr>
        <w:t>There is wide variability in turnover rates amongst employers; factors affecting retention include leadership and management; organisational culture and employer reputation and rewards.</w:t>
      </w:r>
      <w:r>
        <w:rPr>
          <w:rFonts w:ascii="Arial" w:hAnsi="Arial" w:cs="Arial"/>
          <w:sz w:val="24"/>
          <w:szCs w:val="24"/>
          <w:vertAlign w:val="superscript"/>
        </w:rPr>
        <w:t>9</w:t>
      </w:r>
    </w:p>
    <w:p w:rsidR="00E62620" w:rsidRPr="00FD60C1" w:rsidRDefault="00E62620" w:rsidP="00E62620">
      <w:pPr>
        <w:pStyle w:val="ListParagraph"/>
        <w:numPr>
          <w:ilvl w:val="0"/>
          <w:numId w:val="16"/>
        </w:numPr>
        <w:rPr>
          <w:rFonts w:ascii="Arial" w:hAnsi="Arial" w:cs="Arial"/>
          <w:sz w:val="24"/>
          <w:szCs w:val="24"/>
        </w:rPr>
      </w:pPr>
      <w:r>
        <w:rPr>
          <w:rFonts w:ascii="Arial" w:hAnsi="Arial" w:cs="Arial"/>
          <w:sz w:val="24"/>
          <w:szCs w:val="24"/>
        </w:rPr>
        <w:t>There is a negative correlation between turnover rate and CQC rating.</w:t>
      </w:r>
      <w:r>
        <w:rPr>
          <w:rFonts w:ascii="Arial" w:hAnsi="Arial" w:cs="Arial"/>
          <w:sz w:val="24"/>
          <w:szCs w:val="24"/>
          <w:vertAlign w:val="superscript"/>
        </w:rPr>
        <w:t>9</w:t>
      </w:r>
    </w:p>
    <w:p w:rsidR="007D0C58" w:rsidRPr="00E62620" w:rsidRDefault="00E62620" w:rsidP="007D0C58">
      <w:pPr>
        <w:pStyle w:val="ListParagraph"/>
        <w:numPr>
          <w:ilvl w:val="0"/>
          <w:numId w:val="16"/>
        </w:numPr>
        <w:rPr>
          <w:rFonts w:ascii="Arial" w:hAnsi="Arial" w:cs="Arial"/>
          <w:b/>
          <w:sz w:val="24"/>
          <w:szCs w:val="24"/>
        </w:rPr>
      </w:pPr>
      <w:r w:rsidRPr="00E62620">
        <w:rPr>
          <w:rFonts w:ascii="Arial" w:hAnsi="Arial" w:cs="Arial"/>
          <w:sz w:val="24"/>
          <w:szCs w:val="24"/>
        </w:rPr>
        <w:t>There is a positive correlation between retention rates and rates of pay.</w:t>
      </w:r>
      <w:r>
        <w:rPr>
          <w:rFonts w:ascii="Arial" w:hAnsi="Arial" w:cs="Arial"/>
          <w:sz w:val="24"/>
          <w:szCs w:val="24"/>
          <w:vertAlign w:val="superscript"/>
        </w:rPr>
        <w:t>9</w:t>
      </w:r>
    </w:p>
    <w:p w:rsidR="00E62620" w:rsidRPr="00E62620" w:rsidRDefault="00E62620" w:rsidP="007D0C58">
      <w:pPr>
        <w:pStyle w:val="ListParagraph"/>
        <w:numPr>
          <w:ilvl w:val="0"/>
          <w:numId w:val="16"/>
        </w:numPr>
        <w:rPr>
          <w:rFonts w:ascii="Arial" w:hAnsi="Arial" w:cs="Arial"/>
          <w:b/>
          <w:sz w:val="24"/>
          <w:szCs w:val="24"/>
        </w:rPr>
      </w:pPr>
      <w:r w:rsidRPr="00E62620">
        <w:rPr>
          <w:rFonts w:ascii="Arial" w:hAnsi="Arial" w:cs="Arial"/>
          <w:sz w:val="24"/>
          <w:szCs w:val="24"/>
        </w:rPr>
        <w:t>Workers new to their jobs are more likely to leave than workers who have been in post for longer.</w:t>
      </w:r>
      <w:r>
        <w:rPr>
          <w:rFonts w:ascii="Arial" w:hAnsi="Arial" w:cs="Arial"/>
          <w:sz w:val="24"/>
          <w:szCs w:val="24"/>
          <w:vertAlign w:val="superscript"/>
        </w:rPr>
        <w:t>9</w:t>
      </w:r>
    </w:p>
    <w:p w:rsidR="00E62620" w:rsidRPr="00116780" w:rsidRDefault="00E62620" w:rsidP="00E62620">
      <w:pPr>
        <w:pStyle w:val="ListParagraph"/>
        <w:numPr>
          <w:ilvl w:val="0"/>
          <w:numId w:val="16"/>
        </w:numPr>
        <w:rPr>
          <w:rFonts w:ascii="Arial" w:hAnsi="Arial" w:cs="Arial"/>
          <w:sz w:val="24"/>
          <w:szCs w:val="24"/>
        </w:rPr>
      </w:pPr>
      <w:r w:rsidRPr="00E62620">
        <w:rPr>
          <w:rFonts w:ascii="Arial" w:hAnsi="Arial" w:cs="Arial"/>
          <w:sz w:val="24"/>
          <w:szCs w:val="24"/>
        </w:rPr>
        <w:t>There is a higher rate of turnover amongst people on zero hour contracts, and there is an upward trend to the number of workers on zero hour contracts. The National Minimum Data Set shows that nationally a third of all care workers are on zero hour contracts.</w:t>
      </w:r>
      <w:r w:rsidRPr="00116780">
        <w:rPr>
          <w:rFonts w:ascii="Arial" w:hAnsi="Arial" w:cs="Arial"/>
          <w:sz w:val="24"/>
          <w:szCs w:val="24"/>
        </w:rPr>
        <w:t>9</w:t>
      </w:r>
    </w:p>
    <w:p w:rsidR="00FD60C1" w:rsidRPr="00FD60C1" w:rsidRDefault="00FD60C1" w:rsidP="00FD60C1">
      <w:pPr>
        <w:pStyle w:val="ListParagraph"/>
        <w:numPr>
          <w:ilvl w:val="0"/>
          <w:numId w:val="4"/>
        </w:numPr>
        <w:rPr>
          <w:rFonts w:ascii="Arial" w:hAnsi="Arial" w:cs="Arial"/>
          <w:sz w:val="24"/>
          <w:szCs w:val="24"/>
        </w:rPr>
      </w:pPr>
      <w:r>
        <w:rPr>
          <w:rFonts w:ascii="Arial" w:hAnsi="Arial" w:cs="Arial"/>
          <w:sz w:val="24"/>
          <w:szCs w:val="24"/>
        </w:rPr>
        <w:t>The CIPD estimate that the average cost of recruitment per ‘services’ employee is £2000-£5000.</w:t>
      </w:r>
      <w:r>
        <w:rPr>
          <w:rFonts w:ascii="Arial" w:hAnsi="Arial" w:cs="Arial"/>
          <w:sz w:val="24"/>
          <w:szCs w:val="24"/>
          <w:vertAlign w:val="superscript"/>
        </w:rPr>
        <w:t>9</w:t>
      </w:r>
    </w:p>
    <w:p w:rsidR="00FD60C1" w:rsidRPr="00FD60C1" w:rsidRDefault="00B95295" w:rsidP="00FD60C1">
      <w:pPr>
        <w:pStyle w:val="ListParagraph"/>
        <w:numPr>
          <w:ilvl w:val="0"/>
          <w:numId w:val="4"/>
        </w:numPr>
        <w:rPr>
          <w:rFonts w:ascii="Arial" w:hAnsi="Arial" w:cs="Arial"/>
          <w:sz w:val="24"/>
          <w:szCs w:val="24"/>
        </w:rPr>
      </w:pPr>
      <w:r>
        <w:rPr>
          <w:rFonts w:ascii="Arial" w:hAnsi="Arial" w:cs="Arial"/>
          <w:sz w:val="24"/>
          <w:szCs w:val="24"/>
        </w:rPr>
        <w:t>T</w:t>
      </w:r>
      <w:r w:rsidR="00FD60C1">
        <w:rPr>
          <w:rFonts w:ascii="Arial" w:hAnsi="Arial" w:cs="Arial"/>
          <w:sz w:val="24"/>
          <w:szCs w:val="24"/>
        </w:rPr>
        <w:t>he turnover rate is estimated at 26.3% for care workers and at 23.2% for all adult social care.</w:t>
      </w:r>
      <w:r w:rsidR="00FD60C1">
        <w:rPr>
          <w:rFonts w:ascii="Arial" w:hAnsi="Arial" w:cs="Arial"/>
          <w:sz w:val="24"/>
          <w:szCs w:val="24"/>
          <w:vertAlign w:val="superscript"/>
        </w:rPr>
        <w:t xml:space="preserve">6 </w:t>
      </w:r>
      <w:r w:rsidR="00FD60C1">
        <w:rPr>
          <w:rFonts w:ascii="Arial" w:hAnsi="Arial" w:cs="Arial"/>
          <w:sz w:val="24"/>
          <w:szCs w:val="24"/>
        </w:rPr>
        <w:t xml:space="preserve">If these figures are replicated in Brighton </w:t>
      </w:r>
      <w:r w:rsidR="007D0C58">
        <w:rPr>
          <w:rFonts w:ascii="Arial" w:hAnsi="Arial" w:cs="Arial"/>
          <w:sz w:val="24"/>
          <w:szCs w:val="24"/>
        </w:rPr>
        <w:t>and Hove</w:t>
      </w:r>
      <w:r w:rsidR="00FD60C1">
        <w:rPr>
          <w:rFonts w:ascii="Arial" w:hAnsi="Arial" w:cs="Arial"/>
          <w:sz w:val="24"/>
          <w:szCs w:val="24"/>
        </w:rPr>
        <w:t xml:space="preserve"> </w:t>
      </w:r>
      <w:r w:rsidR="00365842">
        <w:rPr>
          <w:rFonts w:ascii="Arial" w:hAnsi="Arial" w:cs="Arial"/>
          <w:sz w:val="24"/>
          <w:szCs w:val="24"/>
        </w:rPr>
        <w:t xml:space="preserve">and </w:t>
      </w:r>
      <w:r w:rsidR="00FD60C1">
        <w:rPr>
          <w:rFonts w:ascii="Arial" w:hAnsi="Arial" w:cs="Arial"/>
          <w:sz w:val="24"/>
          <w:szCs w:val="24"/>
        </w:rPr>
        <w:t xml:space="preserve">the cost of turnover </w:t>
      </w:r>
      <w:r w:rsidR="00365842">
        <w:rPr>
          <w:rFonts w:ascii="Arial" w:hAnsi="Arial" w:cs="Arial"/>
          <w:sz w:val="24"/>
          <w:szCs w:val="24"/>
        </w:rPr>
        <w:t xml:space="preserve">to the sector </w:t>
      </w:r>
      <w:r w:rsidR="00FD60C1">
        <w:rPr>
          <w:rFonts w:ascii="Arial" w:hAnsi="Arial" w:cs="Arial"/>
          <w:sz w:val="24"/>
          <w:szCs w:val="24"/>
        </w:rPr>
        <w:t>in the City of Brighton &amp; Hove is £3.5m - £8.8m. Nationally the upper estimate for turnover across all employment sectors is 20%.</w:t>
      </w:r>
      <w:r w:rsidR="00FD60C1">
        <w:rPr>
          <w:rFonts w:ascii="Arial" w:hAnsi="Arial" w:cs="Arial"/>
          <w:sz w:val="24"/>
          <w:szCs w:val="24"/>
          <w:vertAlign w:val="superscript"/>
        </w:rPr>
        <w:t>9</w:t>
      </w:r>
    </w:p>
    <w:p w:rsidR="005B4939" w:rsidRPr="00116780" w:rsidRDefault="00B95295" w:rsidP="005B4939">
      <w:pPr>
        <w:pStyle w:val="ListParagraph"/>
        <w:numPr>
          <w:ilvl w:val="0"/>
          <w:numId w:val="4"/>
        </w:numPr>
        <w:rPr>
          <w:rFonts w:ascii="Arial" w:hAnsi="Arial" w:cs="Arial"/>
          <w:sz w:val="24"/>
          <w:szCs w:val="24"/>
        </w:rPr>
      </w:pPr>
      <w:r>
        <w:rPr>
          <w:rFonts w:ascii="Arial" w:hAnsi="Arial" w:cs="Arial"/>
          <w:sz w:val="24"/>
          <w:szCs w:val="24"/>
        </w:rPr>
        <w:t>T</w:t>
      </w:r>
      <w:r w:rsidR="005B4939" w:rsidRPr="005B4939">
        <w:rPr>
          <w:rFonts w:ascii="Arial" w:hAnsi="Arial" w:cs="Arial"/>
          <w:sz w:val="24"/>
          <w:szCs w:val="24"/>
        </w:rPr>
        <w:t>urnover rates in adult social care are increasing.</w:t>
      </w:r>
      <w:r w:rsidR="005B4939" w:rsidRPr="0055564D">
        <w:rPr>
          <w:rFonts w:ascii="Arial" w:hAnsi="Arial" w:cs="Arial"/>
          <w:sz w:val="24"/>
          <w:szCs w:val="24"/>
          <w:vertAlign w:val="superscript"/>
        </w:rPr>
        <w:t>9</w:t>
      </w:r>
    </w:p>
    <w:p w:rsidR="00B95295" w:rsidRPr="00B95295" w:rsidRDefault="00B95295" w:rsidP="005B4939">
      <w:pPr>
        <w:pStyle w:val="ListParagraph"/>
        <w:numPr>
          <w:ilvl w:val="0"/>
          <w:numId w:val="4"/>
        </w:numPr>
        <w:rPr>
          <w:rFonts w:ascii="Arial" w:hAnsi="Arial" w:cs="Arial"/>
          <w:sz w:val="24"/>
          <w:szCs w:val="24"/>
        </w:rPr>
      </w:pPr>
      <w:r w:rsidRPr="00B95295">
        <w:rPr>
          <w:rFonts w:ascii="Arial" w:hAnsi="Arial" w:cs="Arial"/>
          <w:sz w:val="24"/>
          <w:szCs w:val="24"/>
        </w:rPr>
        <w:t xml:space="preserve">The adult social care sector sees itself as having a low status. </w:t>
      </w:r>
    </w:p>
    <w:p w:rsidR="00E62620" w:rsidRPr="007D0C58" w:rsidRDefault="00E62620" w:rsidP="005B4939">
      <w:pPr>
        <w:pStyle w:val="ListParagraph"/>
        <w:ind w:left="1080"/>
        <w:rPr>
          <w:rFonts w:ascii="Arial" w:hAnsi="Arial" w:cs="Arial"/>
          <w:sz w:val="24"/>
          <w:szCs w:val="24"/>
        </w:rPr>
      </w:pPr>
    </w:p>
    <w:p w:rsidR="007D0C58" w:rsidRDefault="007D0C58" w:rsidP="007D0C58">
      <w:pPr>
        <w:rPr>
          <w:rFonts w:ascii="Arial" w:hAnsi="Arial" w:cs="Arial"/>
          <w:sz w:val="24"/>
          <w:szCs w:val="24"/>
        </w:rPr>
      </w:pPr>
      <w:r>
        <w:rPr>
          <w:noProof/>
          <w:lang w:eastAsia="en-GB"/>
        </w:rPr>
        <w:drawing>
          <wp:inline distT="0" distB="0" distL="0" distR="0" wp14:anchorId="14CC8829" wp14:editId="05904D56">
            <wp:extent cx="5162550" cy="321945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B4939" w:rsidRPr="007D0C58" w:rsidRDefault="005B4939" w:rsidP="007D0C58">
      <w:pPr>
        <w:rPr>
          <w:rFonts w:ascii="Arial" w:hAnsi="Arial" w:cs="Arial"/>
          <w:sz w:val="24"/>
          <w:szCs w:val="24"/>
        </w:rPr>
      </w:pPr>
      <w:r>
        <w:rPr>
          <w:noProof/>
          <w:lang w:eastAsia="en-GB"/>
        </w:rPr>
        <w:drawing>
          <wp:inline distT="0" distB="0" distL="0" distR="0" wp14:anchorId="0BF397D0" wp14:editId="1B13C98D">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81CF5" w:rsidRPr="00D81CF5" w:rsidRDefault="00BE5F1A" w:rsidP="00D81CF5">
      <w:pPr>
        <w:rPr>
          <w:rFonts w:ascii="Arial" w:hAnsi="Arial" w:cs="Arial"/>
          <w:sz w:val="24"/>
          <w:szCs w:val="24"/>
        </w:rPr>
      </w:pPr>
      <w:r w:rsidRPr="00D81CF5">
        <w:rPr>
          <w:rFonts w:ascii="Arial" w:hAnsi="Arial" w:cs="Arial"/>
          <w:b/>
          <w:sz w:val="24"/>
          <w:szCs w:val="24"/>
        </w:rPr>
        <w:t xml:space="preserve">Locally </w:t>
      </w:r>
    </w:p>
    <w:p w:rsidR="00E62620" w:rsidRDefault="00D81CF5" w:rsidP="00BE5F1A">
      <w:pPr>
        <w:pStyle w:val="ListParagraph"/>
        <w:numPr>
          <w:ilvl w:val="0"/>
          <w:numId w:val="18"/>
        </w:numPr>
        <w:rPr>
          <w:rFonts w:ascii="Arial" w:hAnsi="Arial" w:cs="Arial"/>
          <w:sz w:val="24"/>
          <w:szCs w:val="24"/>
        </w:rPr>
      </w:pPr>
      <w:r>
        <w:rPr>
          <w:rFonts w:ascii="Arial" w:hAnsi="Arial" w:cs="Arial"/>
          <w:sz w:val="24"/>
          <w:szCs w:val="24"/>
        </w:rPr>
        <w:t>H</w:t>
      </w:r>
      <w:r w:rsidR="00BE5F1A">
        <w:rPr>
          <w:rFonts w:ascii="Arial" w:hAnsi="Arial" w:cs="Arial"/>
          <w:sz w:val="24"/>
          <w:szCs w:val="24"/>
        </w:rPr>
        <w:t xml:space="preserve">ome care </w:t>
      </w:r>
      <w:r w:rsidR="00BE5F1A" w:rsidRPr="00BE5F1A">
        <w:rPr>
          <w:rFonts w:ascii="Arial" w:hAnsi="Arial" w:cs="Arial"/>
          <w:sz w:val="24"/>
          <w:szCs w:val="24"/>
        </w:rPr>
        <w:t>providers have cited the high costs of parking</w:t>
      </w:r>
      <w:r w:rsidR="00BE5F1A">
        <w:rPr>
          <w:rFonts w:ascii="Arial" w:hAnsi="Arial" w:cs="Arial"/>
          <w:sz w:val="24"/>
          <w:szCs w:val="24"/>
        </w:rPr>
        <w:t xml:space="preserve"> and public transport as employee disincentives.</w:t>
      </w:r>
    </w:p>
    <w:p w:rsidR="00D81CF5" w:rsidRDefault="00D81CF5" w:rsidP="00BE5F1A">
      <w:pPr>
        <w:pStyle w:val="ListParagraph"/>
        <w:numPr>
          <w:ilvl w:val="0"/>
          <w:numId w:val="18"/>
        </w:numPr>
        <w:rPr>
          <w:rFonts w:ascii="Arial" w:hAnsi="Arial" w:cs="Arial"/>
          <w:sz w:val="24"/>
          <w:szCs w:val="24"/>
        </w:rPr>
      </w:pPr>
      <w:r>
        <w:rPr>
          <w:rFonts w:ascii="Arial" w:hAnsi="Arial" w:cs="Arial"/>
          <w:sz w:val="24"/>
          <w:szCs w:val="24"/>
        </w:rPr>
        <w:t>There are difficulties recruiting people  to the AMHP role.</w:t>
      </w:r>
    </w:p>
    <w:p w:rsidR="005B4939" w:rsidRDefault="00EA6298" w:rsidP="005B4939">
      <w:pPr>
        <w:rPr>
          <w:rFonts w:ascii="Arial" w:hAnsi="Arial" w:cs="Arial"/>
          <w:b/>
          <w:sz w:val="24"/>
          <w:szCs w:val="24"/>
        </w:rPr>
      </w:pPr>
      <w:r>
        <w:rPr>
          <w:rFonts w:ascii="Arial" w:hAnsi="Arial" w:cs="Arial"/>
          <w:b/>
          <w:sz w:val="24"/>
          <w:szCs w:val="24"/>
        </w:rPr>
        <w:t>Training,</w:t>
      </w:r>
      <w:r w:rsidR="005B4939" w:rsidRPr="00A7776D">
        <w:rPr>
          <w:rFonts w:ascii="Arial" w:hAnsi="Arial" w:cs="Arial"/>
          <w:b/>
          <w:sz w:val="24"/>
          <w:szCs w:val="24"/>
        </w:rPr>
        <w:t xml:space="preserve"> Qualifications</w:t>
      </w:r>
      <w:r>
        <w:rPr>
          <w:rFonts w:ascii="Arial" w:hAnsi="Arial" w:cs="Arial"/>
          <w:b/>
          <w:sz w:val="24"/>
          <w:szCs w:val="24"/>
        </w:rPr>
        <w:t xml:space="preserve"> and Skills</w:t>
      </w:r>
    </w:p>
    <w:p w:rsidR="005B4939" w:rsidRPr="00FD60C1" w:rsidRDefault="005B4939" w:rsidP="005B4939">
      <w:pPr>
        <w:pStyle w:val="ListParagraph"/>
        <w:numPr>
          <w:ilvl w:val="0"/>
          <w:numId w:val="15"/>
        </w:numPr>
        <w:rPr>
          <w:rFonts w:ascii="Arial" w:hAnsi="Arial" w:cs="Arial"/>
          <w:b/>
          <w:sz w:val="24"/>
          <w:szCs w:val="24"/>
        </w:rPr>
      </w:pPr>
      <w:r w:rsidRPr="00FD60C1">
        <w:rPr>
          <w:rFonts w:ascii="Arial" w:hAnsi="Arial" w:cs="Arial"/>
          <w:sz w:val="24"/>
          <w:szCs w:val="24"/>
        </w:rPr>
        <w:t xml:space="preserve">The Care Act itself describes a range of training that staff should and must do. This is the firmest statutory requirement in relation to training. For providers the language used by Skills for Care is </w:t>
      </w:r>
      <w:r w:rsidRPr="00FD60C1">
        <w:rPr>
          <w:rFonts w:ascii="Arial" w:hAnsi="Arial" w:cs="Arial"/>
          <w:i/>
          <w:sz w:val="24"/>
          <w:szCs w:val="24"/>
        </w:rPr>
        <w:t>recommend</w:t>
      </w:r>
      <w:r w:rsidRPr="00FD60C1">
        <w:rPr>
          <w:rFonts w:ascii="Arial" w:hAnsi="Arial" w:cs="Arial"/>
          <w:sz w:val="24"/>
          <w:szCs w:val="24"/>
        </w:rPr>
        <w:t xml:space="preserve"> rather than </w:t>
      </w:r>
      <w:r w:rsidRPr="00FD60C1">
        <w:rPr>
          <w:rFonts w:ascii="Arial" w:hAnsi="Arial" w:cs="Arial"/>
          <w:i/>
          <w:sz w:val="24"/>
          <w:szCs w:val="24"/>
        </w:rPr>
        <w:t>must</w:t>
      </w:r>
      <w:r w:rsidRPr="00FD60C1">
        <w:rPr>
          <w:rFonts w:ascii="Arial" w:hAnsi="Arial" w:cs="Arial"/>
          <w:sz w:val="24"/>
          <w:szCs w:val="24"/>
        </w:rPr>
        <w:t xml:space="preserve"> or </w:t>
      </w:r>
      <w:r w:rsidRPr="00FD60C1">
        <w:rPr>
          <w:rFonts w:ascii="Arial" w:hAnsi="Arial" w:cs="Arial"/>
          <w:i/>
          <w:sz w:val="24"/>
          <w:szCs w:val="24"/>
        </w:rPr>
        <w:t>should</w:t>
      </w:r>
      <w:r w:rsidRPr="00FD60C1">
        <w:rPr>
          <w:rFonts w:ascii="Arial" w:hAnsi="Arial" w:cs="Arial"/>
          <w:sz w:val="24"/>
          <w:szCs w:val="24"/>
        </w:rPr>
        <w:t>.</w:t>
      </w:r>
    </w:p>
    <w:p w:rsidR="005B4939" w:rsidRDefault="005B4939" w:rsidP="005B4939">
      <w:pPr>
        <w:pStyle w:val="ListParagraph"/>
        <w:numPr>
          <w:ilvl w:val="0"/>
          <w:numId w:val="4"/>
        </w:numPr>
        <w:rPr>
          <w:rFonts w:ascii="Arial" w:hAnsi="Arial" w:cs="Arial"/>
          <w:sz w:val="24"/>
          <w:szCs w:val="24"/>
        </w:rPr>
      </w:pPr>
      <w:r w:rsidRPr="002D461F">
        <w:rPr>
          <w:rFonts w:ascii="Arial" w:hAnsi="Arial" w:cs="Arial"/>
          <w:sz w:val="24"/>
          <w:szCs w:val="24"/>
        </w:rPr>
        <w:t>In relation to providers the Care Certificate was recently introduced, tightening expectation of managers inducting new members of staff.</w:t>
      </w:r>
    </w:p>
    <w:p w:rsidR="00EA6298" w:rsidRPr="00EA6298" w:rsidRDefault="005B4939" w:rsidP="00EA6298">
      <w:pPr>
        <w:pStyle w:val="ListParagraph"/>
        <w:numPr>
          <w:ilvl w:val="0"/>
          <w:numId w:val="4"/>
        </w:numPr>
        <w:rPr>
          <w:rFonts w:ascii="Arial" w:hAnsi="Arial" w:cs="Arial"/>
          <w:sz w:val="24"/>
          <w:szCs w:val="24"/>
        </w:rPr>
      </w:pPr>
      <w:r>
        <w:rPr>
          <w:rFonts w:ascii="Arial" w:hAnsi="Arial" w:cs="Arial"/>
          <w:sz w:val="24"/>
          <w:szCs w:val="24"/>
        </w:rPr>
        <w:t>Health and Social Care have the third largest uptake of apprenticeships, yet 71% of apprentices are existing employees rather than new entrants to the labour market</w:t>
      </w:r>
      <w:r>
        <w:rPr>
          <w:rFonts w:ascii="Arial" w:hAnsi="Arial" w:cs="Arial"/>
          <w:sz w:val="24"/>
          <w:szCs w:val="24"/>
          <w:vertAlign w:val="superscript"/>
        </w:rPr>
        <w:t>9</w:t>
      </w:r>
    </w:p>
    <w:p w:rsidR="00EA6298" w:rsidRDefault="00EA6298" w:rsidP="00EA6298">
      <w:pPr>
        <w:pStyle w:val="ListParagraph"/>
        <w:numPr>
          <w:ilvl w:val="0"/>
          <w:numId w:val="4"/>
        </w:numPr>
        <w:rPr>
          <w:rFonts w:ascii="Arial" w:hAnsi="Arial" w:cs="Arial"/>
          <w:sz w:val="24"/>
          <w:szCs w:val="24"/>
        </w:rPr>
      </w:pPr>
      <w:r w:rsidRPr="00EA6298">
        <w:rPr>
          <w:rFonts w:ascii="Arial" w:hAnsi="Arial" w:cs="Arial"/>
          <w:sz w:val="24"/>
          <w:szCs w:val="24"/>
        </w:rPr>
        <w:t>The Kings Fund has predicted that by 2017 most health records in health &amp; social care settings will be held electronically.</w:t>
      </w:r>
    </w:p>
    <w:p w:rsidR="00365842" w:rsidRDefault="00365842" w:rsidP="00EA6298">
      <w:pPr>
        <w:pStyle w:val="ListParagraph"/>
        <w:numPr>
          <w:ilvl w:val="0"/>
          <w:numId w:val="4"/>
        </w:numPr>
        <w:rPr>
          <w:rFonts w:ascii="Arial" w:hAnsi="Arial" w:cs="Arial"/>
          <w:sz w:val="24"/>
          <w:szCs w:val="24"/>
        </w:rPr>
      </w:pPr>
      <w:r>
        <w:rPr>
          <w:rFonts w:ascii="Arial" w:hAnsi="Arial" w:cs="Arial"/>
          <w:sz w:val="24"/>
          <w:szCs w:val="24"/>
        </w:rPr>
        <w:t>The table below shows the m</w:t>
      </w:r>
      <w:r w:rsidRPr="00EA6298">
        <w:rPr>
          <w:rFonts w:ascii="Arial" w:hAnsi="Arial" w:cs="Arial"/>
          <w:sz w:val="24"/>
          <w:szCs w:val="24"/>
        </w:rPr>
        <w:t xml:space="preserve">ain skills which need improving as reported by employers with skills gaps, 2013 (as a percentage of employers reporting skills gaps) </w:t>
      </w:r>
      <w:r w:rsidRPr="00EA6298">
        <w:rPr>
          <w:rFonts w:ascii="Arial" w:hAnsi="Arial" w:cs="Arial"/>
          <w:sz w:val="24"/>
          <w:szCs w:val="24"/>
          <w:vertAlign w:val="superscript"/>
        </w:rPr>
        <w:t>14</w:t>
      </w:r>
    </w:p>
    <w:tbl>
      <w:tblPr>
        <w:tblStyle w:val="TableGrid"/>
        <w:tblW w:w="0" w:type="auto"/>
        <w:tblInd w:w="392" w:type="dxa"/>
        <w:tblLook w:val="04A0" w:firstRow="1" w:lastRow="0" w:firstColumn="1" w:lastColumn="0" w:noHBand="0" w:noVBand="1"/>
      </w:tblPr>
      <w:tblGrid>
        <w:gridCol w:w="3402"/>
        <w:gridCol w:w="2551"/>
        <w:gridCol w:w="2897"/>
      </w:tblGrid>
      <w:tr w:rsidR="00EA6298" w:rsidTr="00365842">
        <w:tc>
          <w:tcPr>
            <w:tcW w:w="3402" w:type="dxa"/>
          </w:tcPr>
          <w:p w:rsidR="00EA6298" w:rsidRDefault="00EA6298" w:rsidP="00EA6298">
            <w:pPr>
              <w:rPr>
                <w:rFonts w:ascii="Arial" w:hAnsi="Arial" w:cs="Arial"/>
                <w:sz w:val="24"/>
                <w:szCs w:val="24"/>
              </w:rPr>
            </w:pPr>
          </w:p>
        </w:tc>
        <w:tc>
          <w:tcPr>
            <w:tcW w:w="2551" w:type="dxa"/>
            <w:shd w:val="clear" w:color="auto" w:fill="BFBFBF" w:themeFill="background1" w:themeFillShade="BF"/>
          </w:tcPr>
          <w:p w:rsidR="00EA6298" w:rsidRDefault="00EA6298" w:rsidP="00EA6298">
            <w:pPr>
              <w:rPr>
                <w:rFonts w:ascii="Arial" w:hAnsi="Arial" w:cs="Arial"/>
                <w:sz w:val="24"/>
                <w:szCs w:val="24"/>
              </w:rPr>
            </w:pPr>
            <w:r>
              <w:rPr>
                <w:rFonts w:ascii="Arial" w:hAnsi="Arial" w:cs="Arial"/>
                <w:sz w:val="24"/>
                <w:szCs w:val="24"/>
              </w:rPr>
              <w:t>Total economy</w:t>
            </w:r>
          </w:p>
        </w:tc>
        <w:tc>
          <w:tcPr>
            <w:tcW w:w="2897" w:type="dxa"/>
            <w:shd w:val="clear" w:color="auto" w:fill="BFBFBF" w:themeFill="background1" w:themeFillShade="BF"/>
          </w:tcPr>
          <w:p w:rsidR="00EA6298" w:rsidRDefault="00EA6298" w:rsidP="00EA6298">
            <w:pPr>
              <w:rPr>
                <w:rFonts w:ascii="Arial" w:hAnsi="Arial" w:cs="Arial"/>
                <w:sz w:val="24"/>
                <w:szCs w:val="24"/>
              </w:rPr>
            </w:pPr>
            <w:r>
              <w:rPr>
                <w:rFonts w:ascii="Arial" w:hAnsi="Arial" w:cs="Arial"/>
                <w:sz w:val="24"/>
                <w:szCs w:val="24"/>
              </w:rPr>
              <w:t>Health &amp; Social Care</w:t>
            </w:r>
          </w:p>
        </w:tc>
      </w:tr>
      <w:tr w:rsidR="00EA6298" w:rsidTr="00365842">
        <w:tc>
          <w:tcPr>
            <w:tcW w:w="3402" w:type="dxa"/>
          </w:tcPr>
          <w:p w:rsidR="00EA6298" w:rsidRDefault="00EA6298" w:rsidP="00EA6298">
            <w:pPr>
              <w:rPr>
                <w:rFonts w:ascii="Arial" w:hAnsi="Arial" w:cs="Arial"/>
                <w:sz w:val="24"/>
                <w:szCs w:val="24"/>
              </w:rPr>
            </w:pPr>
            <w:r>
              <w:rPr>
                <w:rFonts w:ascii="Arial" w:hAnsi="Arial" w:cs="Arial"/>
                <w:sz w:val="24"/>
                <w:szCs w:val="24"/>
              </w:rPr>
              <w:t>Technical or practical or job specific skills</w:t>
            </w:r>
          </w:p>
        </w:tc>
        <w:tc>
          <w:tcPr>
            <w:tcW w:w="2551" w:type="dxa"/>
          </w:tcPr>
          <w:p w:rsidR="00EA6298" w:rsidRDefault="00EA6298" w:rsidP="00365842">
            <w:pPr>
              <w:jc w:val="center"/>
              <w:rPr>
                <w:rFonts w:ascii="Arial" w:hAnsi="Arial" w:cs="Arial"/>
                <w:sz w:val="24"/>
                <w:szCs w:val="24"/>
              </w:rPr>
            </w:pPr>
            <w:r>
              <w:rPr>
                <w:rFonts w:ascii="Arial" w:hAnsi="Arial" w:cs="Arial"/>
                <w:sz w:val="24"/>
                <w:szCs w:val="24"/>
              </w:rPr>
              <w:t>60%</w:t>
            </w:r>
          </w:p>
        </w:tc>
        <w:tc>
          <w:tcPr>
            <w:tcW w:w="2897" w:type="dxa"/>
          </w:tcPr>
          <w:p w:rsidR="00EA6298" w:rsidRDefault="00EA6298" w:rsidP="00365842">
            <w:pPr>
              <w:jc w:val="center"/>
              <w:rPr>
                <w:rFonts w:ascii="Arial" w:hAnsi="Arial" w:cs="Arial"/>
                <w:sz w:val="24"/>
                <w:szCs w:val="24"/>
              </w:rPr>
            </w:pPr>
            <w:r>
              <w:rPr>
                <w:rFonts w:ascii="Arial" w:hAnsi="Arial" w:cs="Arial"/>
                <w:sz w:val="24"/>
                <w:szCs w:val="24"/>
              </w:rPr>
              <w:t>61%</w:t>
            </w:r>
          </w:p>
        </w:tc>
      </w:tr>
      <w:tr w:rsidR="00EA6298" w:rsidTr="00365842">
        <w:tc>
          <w:tcPr>
            <w:tcW w:w="3402" w:type="dxa"/>
          </w:tcPr>
          <w:p w:rsidR="00EA6298" w:rsidRDefault="00EA6298" w:rsidP="00EA6298">
            <w:pPr>
              <w:rPr>
                <w:rFonts w:ascii="Arial" w:hAnsi="Arial" w:cs="Arial"/>
                <w:sz w:val="24"/>
                <w:szCs w:val="24"/>
              </w:rPr>
            </w:pPr>
            <w:r>
              <w:rPr>
                <w:rFonts w:ascii="Arial" w:hAnsi="Arial" w:cs="Arial"/>
                <w:sz w:val="24"/>
                <w:szCs w:val="24"/>
              </w:rPr>
              <w:t>Planning and organisational skills</w:t>
            </w:r>
          </w:p>
        </w:tc>
        <w:tc>
          <w:tcPr>
            <w:tcW w:w="2551" w:type="dxa"/>
          </w:tcPr>
          <w:p w:rsidR="00EA6298" w:rsidRDefault="00EA6298" w:rsidP="00365842">
            <w:pPr>
              <w:jc w:val="center"/>
              <w:rPr>
                <w:rFonts w:ascii="Arial" w:hAnsi="Arial" w:cs="Arial"/>
                <w:sz w:val="24"/>
                <w:szCs w:val="24"/>
              </w:rPr>
            </w:pPr>
            <w:r>
              <w:rPr>
                <w:rFonts w:ascii="Arial" w:hAnsi="Arial" w:cs="Arial"/>
                <w:sz w:val="24"/>
                <w:szCs w:val="24"/>
              </w:rPr>
              <w:t>57%</w:t>
            </w:r>
          </w:p>
        </w:tc>
        <w:tc>
          <w:tcPr>
            <w:tcW w:w="2897" w:type="dxa"/>
          </w:tcPr>
          <w:p w:rsidR="00EA6298" w:rsidRDefault="00EA6298" w:rsidP="00365842">
            <w:pPr>
              <w:jc w:val="center"/>
              <w:rPr>
                <w:rFonts w:ascii="Arial" w:hAnsi="Arial" w:cs="Arial"/>
                <w:sz w:val="24"/>
                <w:szCs w:val="24"/>
              </w:rPr>
            </w:pPr>
            <w:r>
              <w:rPr>
                <w:rFonts w:ascii="Arial" w:hAnsi="Arial" w:cs="Arial"/>
                <w:sz w:val="24"/>
                <w:szCs w:val="24"/>
              </w:rPr>
              <w:t>61%</w:t>
            </w:r>
          </w:p>
        </w:tc>
      </w:tr>
      <w:tr w:rsidR="00EA6298" w:rsidTr="00365842">
        <w:tc>
          <w:tcPr>
            <w:tcW w:w="3402" w:type="dxa"/>
          </w:tcPr>
          <w:p w:rsidR="00EA6298" w:rsidRDefault="00EA6298" w:rsidP="00EA6298">
            <w:pPr>
              <w:rPr>
                <w:rFonts w:ascii="Arial" w:hAnsi="Arial" w:cs="Arial"/>
                <w:sz w:val="24"/>
                <w:szCs w:val="24"/>
              </w:rPr>
            </w:pPr>
            <w:r>
              <w:rPr>
                <w:rFonts w:ascii="Arial" w:hAnsi="Arial" w:cs="Arial"/>
                <w:sz w:val="24"/>
                <w:szCs w:val="24"/>
              </w:rPr>
              <w:t>Team working skills</w:t>
            </w:r>
          </w:p>
        </w:tc>
        <w:tc>
          <w:tcPr>
            <w:tcW w:w="2551" w:type="dxa"/>
          </w:tcPr>
          <w:p w:rsidR="00EA6298" w:rsidRDefault="00EA6298" w:rsidP="00365842">
            <w:pPr>
              <w:jc w:val="center"/>
              <w:rPr>
                <w:rFonts w:ascii="Arial" w:hAnsi="Arial" w:cs="Arial"/>
                <w:sz w:val="24"/>
                <w:szCs w:val="24"/>
              </w:rPr>
            </w:pPr>
            <w:r>
              <w:rPr>
                <w:rFonts w:ascii="Arial" w:hAnsi="Arial" w:cs="Arial"/>
                <w:sz w:val="24"/>
                <w:szCs w:val="24"/>
              </w:rPr>
              <w:t>44%</w:t>
            </w:r>
          </w:p>
        </w:tc>
        <w:tc>
          <w:tcPr>
            <w:tcW w:w="2897" w:type="dxa"/>
          </w:tcPr>
          <w:p w:rsidR="00EA6298" w:rsidRDefault="00EA6298" w:rsidP="00365842">
            <w:pPr>
              <w:jc w:val="center"/>
              <w:rPr>
                <w:rFonts w:ascii="Arial" w:hAnsi="Arial" w:cs="Arial"/>
                <w:sz w:val="24"/>
                <w:szCs w:val="24"/>
              </w:rPr>
            </w:pPr>
            <w:r>
              <w:rPr>
                <w:rFonts w:ascii="Arial" w:hAnsi="Arial" w:cs="Arial"/>
                <w:sz w:val="24"/>
                <w:szCs w:val="24"/>
              </w:rPr>
              <w:t>51%</w:t>
            </w:r>
          </w:p>
        </w:tc>
      </w:tr>
      <w:tr w:rsidR="00EA6298" w:rsidTr="00365842">
        <w:tc>
          <w:tcPr>
            <w:tcW w:w="3402" w:type="dxa"/>
          </w:tcPr>
          <w:p w:rsidR="00EA6298" w:rsidRDefault="00EA6298" w:rsidP="00EA6298">
            <w:pPr>
              <w:rPr>
                <w:rFonts w:ascii="Arial" w:hAnsi="Arial" w:cs="Arial"/>
                <w:sz w:val="24"/>
                <w:szCs w:val="24"/>
              </w:rPr>
            </w:pPr>
            <w:r>
              <w:rPr>
                <w:rFonts w:ascii="Arial" w:hAnsi="Arial" w:cs="Arial"/>
                <w:sz w:val="24"/>
                <w:szCs w:val="24"/>
              </w:rPr>
              <w:t>Problem solving skills</w:t>
            </w:r>
          </w:p>
        </w:tc>
        <w:tc>
          <w:tcPr>
            <w:tcW w:w="2551" w:type="dxa"/>
          </w:tcPr>
          <w:p w:rsidR="00EA6298" w:rsidRDefault="00EA6298" w:rsidP="00365842">
            <w:pPr>
              <w:jc w:val="center"/>
              <w:rPr>
                <w:rFonts w:ascii="Arial" w:hAnsi="Arial" w:cs="Arial"/>
                <w:sz w:val="24"/>
                <w:szCs w:val="24"/>
              </w:rPr>
            </w:pPr>
            <w:r>
              <w:rPr>
                <w:rFonts w:ascii="Arial" w:hAnsi="Arial" w:cs="Arial"/>
                <w:sz w:val="24"/>
                <w:szCs w:val="24"/>
              </w:rPr>
              <w:t>48%</w:t>
            </w:r>
          </w:p>
        </w:tc>
        <w:tc>
          <w:tcPr>
            <w:tcW w:w="2897" w:type="dxa"/>
          </w:tcPr>
          <w:p w:rsidR="00EA6298" w:rsidRDefault="00EA6298" w:rsidP="00365842">
            <w:pPr>
              <w:jc w:val="center"/>
              <w:rPr>
                <w:rFonts w:ascii="Arial" w:hAnsi="Arial" w:cs="Arial"/>
                <w:sz w:val="24"/>
                <w:szCs w:val="24"/>
              </w:rPr>
            </w:pPr>
            <w:r>
              <w:rPr>
                <w:rFonts w:ascii="Arial" w:hAnsi="Arial" w:cs="Arial"/>
                <w:sz w:val="24"/>
                <w:szCs w:val="24"/>
              </w:rPr>
              <w:t>48%</w:t>
            </w:r>
          </w:p>
        </w:tc>
      </w:tr>
      <w:tr w:rsidR="00EA6298" w:rsidTr="00365842">
        <w:tc>
          <w:tcPr>
            <w:tcW w:w="3402" w:type="dxa"/>
          </w:tcPr>
          <w:p w:rsidR="00EA6298" w:rsidRDefault="00EA6298" w:rsidP="00EA6298">
            <w:pPr>
              <w:rPr>
                <w:rFonts w:ascii="Arial" w:hAnsi="Arial" w:cs="Arial"/>
                <w:sz w:val="24"/>
                <w:szCs w:val="24"/>
              </w:rPr>
            </w:pPr>
            <w:r>
              <w:rPr>
                <w:rFonts w:ascii="Arial" w:hAnsi="Arial" w:cs="Arial"/>
                <w:sz w:val="24"/>
                <w:szCs w:val="24"/>
              </w:rPr>
              <w:t>Customer handling skills</w:t>
            </w:r>
          </w:p>
        </w:tc>
        <w:tc>
          <w:tcPr>
            <w:tcW w:w="2551" w:type="dxa"/>
          </w:tcPr>
          <w:p w:rsidR="00EA6298" w:rsidRDefault="00EA6298" w:rsidP="00365842">
            <w:pPr>
              <w:jc w:val="center"/>
              <w:rPr>
                <w:rFonts w:ascii="Arial" w:hAnsi="Arial" w:cs="Arial"/>
                <w:sz w:val="24"/>
                <w:szCs w:val="24"/>
              </w:rPr>
            </w:pPr>
            <w:r>
              <w:rPr>
                <w:rFonts w:ascii="Arial" w:hAnsi="Arial" w:cs="Arial"/>
                <w:sz w:val="24"/>
                <w:szCs w:val="24"/>
              </w:rPr>
              <w:t>47%</w:t>
            </w:r>
          </w:p>
        </w:tc>
        <w:tc>
          <w:tcPr>
            <w:tcW w:w="2897" w:type="dxa"/>
          </w:tcPr>
          <w:p w:rsidR="00EA6298" w:rsidRDefault="00EA6298" w:rsidP="00365842">
            <w:pPr>
              <w:jc w:val="center"/>
              <w:rPr>
                <w:rFonts w:ascii="Arial" w:hAnsi="Arial" w:cs="Arial"/>
                <w:sz w:val="24"/>
                <w:szCs w:val="24"/>
              </w:rPr>
            </w:pPr>
            <w:r>
              <w:rPr>
                <w:rFonts w:ascii="Arial" w:hAnsi="Arial" w:cs="Arial"/>
                <w:sz w:val="24"/>
                <w:szCs w:val="24"/>
              </w:rPr>
              <w:t>47%</w:t>
            </w:r>
          </w:p>
        </w:tc>
      </w:tr>
    </w:tbl>
    <w:p w:rsidR="00365842" w:rsidRDefault="00365842" w:rsidP="00792E97">
      <w:pPr>
        <w:rPr>
          <w:rFonts w:ascii="Arial" w:hAnsi="Arial" w:cs="Arial"/>
          <w:sz w:val="24"/>
          <w:szCs w:val="24"/>
        </w:rPr>
      </w:pPr>
    </w:p>
    <w:p w:rsidR="00792E97" w:rsidRDefault="00EA6298" w:rsidP="00792E97">
      <w:pPr>
        <w:rPr>
          <w:rFonts w:ascii="Arial" w:hAnsi="Arial" w:cs="Arial"/>
          <w:sz w:val="24"/>
          <w:szCs w:val="24"/>
        </w:rPr>
      </w:pPr>
      <w:r>
        <w:rPr>
          <w:rFonts w:ascii="Arial" w:hAnsi="Arial" w:cs="Arial"/>
          <w:sz w:val="24"/>
          <w:szCs w:val="24"/>
        </w:rPr>
        <w:t>Note</w:t>
      </w:r>
      <w:r w:rsidR="00365842">
        <w:rPr>
          <w:rFonts w:ascii="Arial" w:hAnsi="Arial" w:cs="Arial"/>
          <w:sz w:val="24"/>
          <w:szCs w:val="24"/>
        </w:rPr>
        <w:t>:</w:t>
      </w:r>
      <w:r>
        <w:rPr>
          <w:rFonts w:ascii="Arial" w:hAnsi="Arial" w:cs="Arial"/>
          <w:sz w:val="24"/>
          <w:szCs w:val="24"/>
        </w:rPr>
        <w:t xml:space="preserve"> the above were addressed through a mix of training, appraisals, mentoring, work</w:t>
      </w:r>
      <w:r w:rsidR="00757E72">
        <w:rPr>
          <w:rFonts w:ascii="Arial" w:hAnsi="Arial" w:cs="Arial"/>
          <w:sz w:val="24"/>
          <w:szCs w:val="24"/>
        </w:rPr>
        <w:t xml:space="preserve"> re-allocation and supervision.</w:t>
      </w:r>
    </w:p>
    <w:p w:rsidR="00A35706" w:rsidRPr="00365842" w:rsidRDefault="00757E72" w:rsidP="00792E97">
      <w:pPr>
        <w:rPr>
          <w:rFonts w:ascii="Arial" w:hAnsi="Arial" w:cs="Arial"/>
          <w:b/>
          <w:sz w:val="28"/>
          <w:szCs w:val="28"/>
        </w:rPr>
      </w:pPr>
      <w:r w:rsidRPr="00365842">
        <w:rPr>
          <w:rFonts w:ascii="Arial" w:hAnsi="Arial" w:cs="Arial"/>
          <w:b/>
          <w:sz w:val="28"/>
          <w:szCs w:val="28"/>
        </w:rPr>
        <w:t>Implications of the contextual factors to the Workforce</w:t>
      </w:r>
    </w:p>
    <w:p w:rsidR="00757E72" w:rsidRDefault="00757E72" w:rsidP="00757E72">
      <w:pPr>
        <w:pStyle w:val="ListParagraph"/>
        <w:numPr>
          <w:ilvl w:val="0"/>
          <w:numId w:val="21"/>
        </w:numPr>
        <w:rPr>
          <w:rFonts w:ascii="Arial" w:hAnsi="Arial" w:cs="Arial"/>
          <w:b/>
          <w:sz w:val="24"/>
          <w:szCs w:val="24"/>
        </w:rPr>
      </w:pPr>
      <w:r>
        <w:rPr>
          <w:rFonts w:ascii="Arial" w:hAnsi="Arial" w:cs="Arial"/>
          <w:b/>
          <w:sz w:val="24"/>
          <w:szCs w:val="24"/>
        </w:rPr>
        <w:t>Demand for services is likely to rise</w:t>
      </w:r>
    </w:p>
    <w:p w:rsidR="00757E72" w:rsidRDefault="00757E72" w:rsidP="00757E72">
      <w:pPr>
        <w:ind w:left="360"/>
        <w:rPr>
          <w:rFonts w:ascii="Arial" w:hAnsi="Arial" w:cs="Arial"/>
          <w:sz w:val="24"/>
          <w:szCs w:val="24"/>
        </w:rPr>
      </w:pPr>
      <w:r>
        <w:rPr>
          <w:rFonts w:ascii="Arial" w:hAnsi="Arial" w:cs="Arial"/>
          <w:sz w:val="24"/>
          <w:szCs w:val="24"/>
        </w:rPr>
        <w:t xml:space="preserve">Even with effective information and advice and </w:t>
      </w:r>
      <w:r w:rsidR="009368B1">
        <w:rPr>
          <w:rFonts w:ascii="Arial" w:hAnsi="Arial" w:cs="Arial"/>
          <w:sz w:val="24"/>
          <w:szCs w:val="24"/>
        </w:rPr>
        <w:t xml:space="preserve">prevention </w:t>
      </w:r>
      <w:r w:rsidR="00931D3A">
        <w:rPr>
          <w:rFonts w:ascii="Arial" w:hAnsi="Arial" w:cs="Arial"/>
          <w:sz w:val="24"/>
          <w:szCs w:val="24"/>
        </w:rPr>
        <w:t xml:space="preserve">the ageing population, increasing numbers of people living with long term conditions points to an increase in demand for assessment, care and support. Adult social care will need </w:t>
      </w:r>
      <w:r w:rsidR="008128C9">
        <w:rPr>
          <w:rFonts w:ascii="Arial" w:hAnsi="Arial" w:cs="Arial"/>
          <w:sz w:val="24"/>
          <w:szCs w:val="24"/>
        </w:rPr>
        <w:t>a larger</w:t>
      </w:r>
      <w:r w:rsidR="00B65A06">
        <w:rPr>
          <w:rFonts w:ascii="Arial" w:hAnsi="Arial" w:cs="Arial"/>
          <w:sz w:val="24"/>
          <w:szCs w:val="24"/>
        </w:rPr>
        <w:t xml:space="preserve"> </w:t>
      </w:r>
      <w:r w:rsidR="00931D3A">
        <w:rPr>
          <w:rFonts w:ascii="Arial" w:hAnsi="Arial" w:cs="Arial"/>
          <w:sz w:val="24"/>
          <w:szCs w:val="24"/>
        </w:rPr>
        <w:t>workforce in order to meet this increase in demand.</w:t>
      </w:r>
    </w:p>
    <w:p w:rsidR="00931D3A" w:rsidRDefault="00931D3A" w:rsidP="00931D3A">
      <w:pPr>
        <w:pStyle w:val="ListParagraph"/>
        <w:numPr>
          <w:ilvl w:val="0"/>
          <w:numId w:val="21"/>
        </w:numPr>
        <w:rPr>
          <w:rFonts w:ascii="Arial" w:hAnsi="Arial" w:cs="Arial"/>
          <w:b/>
          <w:sz w:val="24"/>
          <w:szCs w:val="24"/>
        </w:rPr>
      </w:pPr>
      <w:r w:rsidRPr="00931D3A">
        <w:rPr>
          <w:rFonts w:ascii="Arial" w:hAnsi="Arial" w:cs="Arial"/>
          <w:b/>
          <w:sz w:val="24"/>
          <w:szCs w:val="24"/>
        </w:rPr>
        <w:t>The financial outlook for adult social care is extremely challenging</w:t>
      </w:r>
    </w:p>
    <w:p w:rsidR="00D50651" w:rsidRDefault="00931D3A" w:rsidP="006632B9">
      <w:pPr>
        <w:ind w:left="360"/>
        <w:rPr>
          <w:rFonts w:ascii="Arial" w:hAnsi="Arial" w:cs="Arial"/>
          <w:sz w:val="24"/>
          <w:szCs w:val="24"/>
        </w:rPr>
      </w:pPr>
      <w:r>
        <w:rPr>
          <w:rFonts w:ascii="Arial" w:hAnsi="Arial" w:cs="Arial"/>
          <w:sz w:val="24"/>
          <w:szCs w:val="24"/>
        </w:rPr>
        <w:t>This points to the necessity to prov</w:t>
      </w:r>
      <w:r w:rsidR="00D50651">
        <w:rPr>
          <w:rFonts w:ascii="Arial" w:hAnsi="Arial" w:cs="Arial"/>
          <w:sz w:val="24"/>
          <w:szCs w:val="24"/>
        </w:rPr>
        <w:t>ide services in different ways.</w:t>
      </w:r>
    </w:p>
    <w:p w:rsidR="00D50651" w:rsidRDefault="00D50651" w:rsidP="006632B9">
      <w:pPr>
        <w:ind w:left="360"/>
        <w:rPr>
          <w:rFonts w:ascii="Arial" w:hAnsi="Arial" w:cs="Arial"/>
          <w:sz w:val="24"/>
          <w:szCs w:val="24"/>
        </w:rPr>
      </w:pPr>
      <w:r>
        <w:rPr>
          <w:rFonts w:ascii="Arial" w:hAnsi="Arial" w:cs="Arial"/>
          <w:sz w:val="24"/>
          <w:szCs w:val="24"/>
        </w:rPr>
        <w:t>The Care Act sets clear duties for the council. It also allows for assessment services to be provided in other ways.</w:t>
      </w:r>
    </w:p>
    <w:p w:rsidR="00931D3A" w:rsidRDefault="00931D3A" w:rsidP="006632B9">
      <w:pPr>
        <w:ind w:left="360"/>
        <w:rPr>
          <w:rFonts w:ascii="Arial" w:hAnsi="Arial" w:cs="Arial"/>
          <w:sz w:val="24"/>
          <w:szCs w:val="24"/>
        </w:rPr>
      </w:pPr>
      <w:r>
        <w:rPr>
          <w:rFonts w:ascii="Arial" w:hAnsi="Arial" w:cs="Arial"/>
          <w:sz w:val="24"/>
          <w:szCs w:val="24"/>
        </w:rPr>
        <w:t>Brighton &amp; Hov</w:t>
      </w:r>
      <w:r w:rsidR="00D50651">
        <w:rPr>
          <w:rFonts w:ascii="Arial" w:hAnsi="Arial" w:cs="Arial"/>
          <w:sz w:val="24"/>
          <w:szCs w:val="24"/>
        </w:rPr>
        <w:t>e City Council has described it</w:t>
      </w:r>
      <w:r>
        <w:rPr>
          <w:rFonts w:ascii="Arial" w:hAnsi="Arial" w:cs="Arial"/>
          <w:sz w:val="24"/>
          <w:szCs w:val="24"/>
        </w:rPr>
        <w:t xml:space="preserve">s approach </w:t>
      </w:r>
      <w:r w:rsidR="00D50651">
        <w:rPr>
          <w:rFonts w:ascii="Arial" w:hAnsi="Arial" w:cs="Arial"/>
          <w:sz w:val="24"/>
          <w:szCs w:val="24"/>
        </w:rPr>
        <w:t>to service provision in it</w:t>
      </w:r>
      <w:r>
        <w:rPr>
          <w:rFonts w:ascii="Arial" w:hAnsi="Arial" w:cs="Arial"/>
          <w:sz w:val="24"/>
          <w:szCs w:val="24"/>
        </w:rPr>
        <w:t xml:space="preserve">s market position statement. Within the city, as nationally there is the possibility that </w:t>
      </w:r>
      <w:r w:rsidR="00D50651">
        <w:rPr>
          <w:rFonts w:ascii="Arial" w:hAnsi="Arial" w:cs="Arial"/>
          <w:sz w:val="24"/>
          <w:szCs w:val="24"/>
        </w:rPr>
        <w:t xml:space="preserve">some </w:t>
      </w:r>
      <w:r>
        <w:rPr>
          <w:rFonts w:ascii="Arial" w:hAnsi="Arial" w:cs="Arial"/>
          <w:sz w:val="24"/>
          <w:szCs w:val="24"/>
        </w:rPr>
        <w:t xml:space="preserve">providers </w:t>
      </w:r>
      <w:r w:rsidR="00D50651">
        <w:rPr>
          <w:rFonts w:ascii="Arial" w:hAnsi="Arial" w:cs="Arial"/>
          <w:sz w:val="24"/>
          <w:szCs w:val="24"/>
        </w:rPr>
        <w:t>(the great majority of whom are in the independent sector) may consider leaving the sector owing to the impact on their profitability. Across the sector there is concern over of the costs of the national living wage to adult social care</w:t>
      </w:r>
      <w:r w:rsidR="00365842">
        <w:rPr>
          <w:rFonts w:ascii="Arial" w:hAnsi="Arial" w:cs="Arial"/>
          <w:sz w:val="24"/>
          <w:szCs w:val="24"/>
        </w:rPr>
        <w:t>, even if organisations can recruit</w:t>
      </w:r>
      <w:r w:rsidR="00D50651">
        <w:rPr>
          <w:rFonts w:ascii="Arial" w:hAnsi="Arial" w:cs="Arial"/>
          <w:sz w:val="24"/>
          <w:szCs w:val="24"/>
        </w:rPr>
        <w:t>.</w:t>
      </w:r>
      <w:r w:rsidR="006C5690">
        <w:rPr>
          <w:rFonts w:ascii="Arial" w:hAnsi="Arial" w:cs="Arial"/>
          <w:sz w:val="24"/>
          <w:szCs w:val="24"/>
        </w:rPr>
        <w:t xml:space="preserve"> </w:t>
      </w:r>
    </w:p>
    <w:p w:rsidR="00D50651" w:rsidRDefault="00FE52A3" w:rsidP="006632B9">
      <w:pPr>
        <w:ind w:left="360"/>
        <w:rPr>
          <w:rFonts w:ascii="Arial" w:hAnsi="Arial" w:cs="Arial"/>
          <w:sz w:val="24"/>
          <w:szCs w:val="24"/>
        </w:rPr>
      </w:pPr>
      <w:r>
        <w:rPr>
          <w:rFonts w:ascii="Arial" w:hAnsi="Arial" w:cs="Arial"/>
          <w:sz w:val="24"/>
          <w:szCs w:val="24"/>
        </w:rPr>
        <w:t>Laing and Bui</w:t>
      </w:r>
      <w:r w:rsidR="00D50651">
        <w:rPr>
          <w:rFonts w:ascii="Arial" w:hAnsi="Arial" w:cs="Arial"/>
          <w:sz w:val="24"/>
          <w:szCs w:val="24"/>
        </w:rPr>
        <w:t xml:space="preserve">son and others have suggested that there will be a trend in the care and nursing home market towards larger units </w:t>
      </w:r>
      <w:r w:rsidR="00B602C7">
        <w:rPr>
          <w:rFonts w:ascii="Arial" w:hAnsi="Arial" w:cs="Arial"/>
          <w:sz w:val="24"/>
          <w:szCs w:val="24"/>
        </w:rPr>
        <w:t>seeking to attract self funders, which arguably is a more sustainable business model with higher profit margins.</w:t>
      </w:r>
    </w:p>
    <w:p w:rsidR="00FE52A3" w:rsidRDefault="00FE52A3" w:rsidP="006632B9">
      <w:pPr>
        <w:ind w:left="360"/>
        <w:rPr>
          <w:rFonts w:ascii="Arial" w:hAnsi="Arial" w:cs="Arial"/>
          <w:sz w:val="24"/>
          <w:szCs w:val="24"/>
        </w:rPr>
      </w:pPr>
      <w:r>
        <w:rPr>
          <w:rFonts w:ascii="Arial" w:hAnsi="Arial" w:cs="Arial"/>
          <w:sz w:val="24"/>
          <w:szCs w:val="24"/>
        </w:rPr>
        <w:t xml:space="preserve">In order to accommodate changes to the way services are provided an effective workforce strategy needs to be informed by </w:t>
      </w:r>
      <w:r w:rsidR="00365842">
        <w:rPr>
          <w:rFonts w:ascii="Arial" w:hAnsi="Arial" w:cs="Arial"/>
          <w:sz w:val="24"/>
          <w:szCs w:val="24"/>
        </w:rPr>
        <w:t>commissioning plans</w:t>
      </w:r>
      <w:r>
        <w:rPr>
          <w:rFonts w:ascii="Arial" w:hAnsi="Arial" w:cs="Arial"/>
          <w:sz w:val="24"/>
          <w:szCs w:val="24"/>
        </w:rPr>
        <w:t>.</w:t>
      </w:r>
    </w:p>
    <w:p w:rsidR="006632B9" w:rsidRDefault="00232DFC" w:rsidP="005E4983">
      <w:pPr>
        <w:pStyle w:val="ListParagraph"/>
        <w:numPr>
          <w:ilvl w:val="0"/>
          <w:numId w:val="21"/>
        </w:numPr>
        <w:rPr>
          <w:rFonts w:ascii="Arial" w:hAnsi="Arial" w:cs="Arial"/>
          <w:b/>
          <w:sz w:val="24"/>
          <w:szCs w:val="24"/>
        </w:rPr>
      </w:pPr>
      <w:r w:rsidRPr="00232DFC">
        <w:rPr>
          <w:rFonts w:ascii="Arial" w:hAnsi="Arial" w:cs="Arial"/>
          <w:b/>
          <w:sz w:val="24"/>
          <w:szCs w:val="24"/>
        </w:rPr>
        <w:t>The work</w:t>
      </w:r>
      <w:r w:rsidR="000874AB">
        <w:rPr>
          <w:rFonts w:ascii="Arial" w:hAnsi="Arial" w:cs="Arial"/>
          <w:b/>
          <w:sz w:val="24"/>
          <w:szCs w:val="24"/>
        </w:rPr>
        <w:t xml:space="preserve">force is ageing </w:t>
      </w:r>
      <w:r w:rsidRPr="00232DFC">
        <w:rPr>
          <w:rFonts w:ascii="Arial" w:hAnsi="Arial" w:cs="Arial"/>
          <w:b/>
          <w:sz w:val="24"/>
          <w:szCs w:val="24"/>
        </w:rPr>
        <w:t>is difficult</w:t>
      </w:r>
      <w:r w:rsidR="007C27CF">
        <w:rPr>
          <w:rFonts w:ascii="Arial" w:hAnsi="Arial" w:cs="Arial"/>
          <w:b/>
          <w:sz w:val="24"/>
          <w:szCs w:val="24"/>
        </w:rPr>
        <w:t xml:space="preserve"> to recruit to</w:t>
      </w:r>
    </w:p>
    <w:p w:rsidR="005E4983" w:rsidRDefault="005E4983" w:rsidP="005E4983">
      <w:pPr>
        <w:ind w:left="360"/>
        <w:rPr>
          <w:rFonts w:ascii="Arial" w:hAnsi="Arial" w:cs="Arial"/>
          <w:sz w:val="24"/>
          <w:szCs w:val="24"/>
        </w:rPr>
      </w:pPr>
      <w:r>
        <w:rPr>
          <w:rFonts w:ascii="Arial" w:hAnsi="Arial" w:cs="Arial"/>
          <w:sz w:val="24"/>
          <w:szCs w:val="24"/>
        </w:rPr>
        <w:t>This is a view widely held in the sector. The analysis a</w:t>
      </w:r>
      <w:r w:rsidR="006C5690">
        <w:rPr>
          <w:rFonts w:ascii="Arial" w:hAnsi="Arial" w:cs="Arial"/>
          <w:sz w:val="24"/>
          <w:szCs w:val="24"/>
        </w:rPr>
        <w:t xml:space="preserve">bove also points to this. </w:t>
      </w:r>
      <w:r w:rsidR="009F1FD1">
        <w:rPr>
          <w:rFonts w:ascii="Arial" w:hAnsi="Arial" w:cs="Arial"/>
          <w:sz w:val="24"/>
          <w:szCs w:val="24"/>
        </w:rPr>
        <w:t>Similarly,</w:t>
      </w:r>
      <w:r w:rsidR="006C5690">
        <w:rPr>
          <w:rFonts w:ascii="Arial" w:hAnsi="Arial" w:cs="Arial"/>
          <w:sz w:val="24"/>
          <w:szCs w:val="24"/>
        </w:rPr>
        <w:t xml:space="preserve"> as described above the population as a whole is ageing, so one could argue by this measure the changes within the workforce mirror that of the wider population. However in order to grow the workforce of tomorrow adult social care needs to be seen as an attractive option for younger people. </w:t>
      </w:r>
      <w:r w:rsidR="009F1FD1">
        <w:rPr>
          <w:rFonts w:ascii="Arial" w:hAnsi="Arial" w:cs="Arial"/>
          <w:sz w:val="24"/>
          <w:szCs w:val="24"/>
        </w:rPr>
        <w:t>Clearly an increase in pay introduced through the national living wage will be welcome news to the low paid provider workforce. Raising the bar will not in itself be a game changer for recruitment as the living wage will simultaneously be introduced in alternative sectors such as retail. Given the financial restraints strategic efforts will need to concentrate on other facto</w:t>
      </w:r>
      <w:r w:rsidR="000874AB">
        <w:rPr>
          <w:rFonts w:ascii="Arial" w:hAnsi="Arial" w:cs="Arial"/>
          <w:sz w:val="24"/>
          <w:szCs w:val="24"/>
        </w:rPr>
        <w:t xml:space="preserve">rs that have a positive impact </w:t>
      </w:r>
      <w:r w:rsidR="009F1FD1">
        <w:rPr>
          <w:rFonts w:ascii="Arial" w:hAnsi="Arial" w:cs="Arial"/>
          <w:sz w:val="24"/>
          <w:szCs w:val="24"/>
        </w:rPr>
        <w:t xml:space="preserve">on </w:t>
      </w:r>
      <w:r w:rsidR="000874AB">
        <w:rPr>
          <w:rFonts w:ascii="Arial" w:hAnsi="Arial" w:cs="Arial"/>
          <w:sz w:val="24"/>
          <w:szCs w:val="24"/>
        </w:rPr>
        <w:t xml:space="preserve">both </w:t>
      </w:r>
      <w:r w:rsidR="009F1FD1">
        <w:rPr>
          <w:rFonts w:ascii="Arial" w:hAnsi="Arial" w:cs="Arial"/>
          <w:sz w:val="24"/>
          <w:szCs w:val="24"/>
        </w:rPr>
        <w:t>recruitment and retention.</w:t>
      </w:r>
    </w:p>
    <w:p w:rsidR="001058B7" w:rsidRDefault="001058B7" w:rsidP="001058B7">
      <w:pPr>
        <w:pStyle w:val="ListParagraph"/>
        <w:numPr>
          <w:ilvl w:val="0"/>
          <w:numId w:val="21"/>
        </w:numPr>
        <w:rPr>
          <w:rFonts w:ascii="Arial" w:hAnsi="Arial" w:cs="Arial"/>
          <w:b/>
          <w:sz w:val="24"/>
          <w:szCs w:val="24"/>
        </w:rPr>
      </w:pPr>
      <w:r>
        <w:rPr>
          <w:rFonts w:ascii="Arial" w:hAnsi="Arial" w:cs="Arial"/>
          <w:b/>
          <w:sz w:val="24"/>
          <w:szCs w:val="24"/>
        </w:rPr>
        <w:t xml:space="preserve">The </w:t>
      </w:r>
      <w:r w:rsidR="00790DD0">
        <w:rPr>
          <w:rFonts w:ascii="Arial" w:hAnsi="Arial" w:cs="Arial"/>
          <w:b/>
          <w:sz w:val="24"/>
          <w:szCs w:val="24"/>
        </w:rPr>
        <w:t xml:space="preserve">evolution of the </w:t>
      </w:r>
      <w:r>
        <w:rPr>
          <w:rFonts w:ascii="Arial" w:hAnsi="Arial" w:cs="Arial"/>
          <w:b/>
          <w:sz w:val="24"/>
          <w:szCs w:val="24"/>
        </w:rPr>
        <w:t>way information, assessment care and</w:t>
      </w:r>
      <w:r w:rsidR="00790DD0">
        <w:rPr>
          <w:rFonts w:ascii="Arial" w:hAnsi="Arial" w:cs="Arial"/>
          <w:b/>
          <w:sz w:val="24"/>
          <w:szCs w:val="24"/>
        </w:rPr>
        <w:t xml:space="preserve"> support is provided</w:t>
      </w:r>
    </w:p>
    <w:p w:rsidR="00B602C7" w:rsidRDefault="00B65A06" w:rsidP="00790DD0">
      <w:pPr>
        <w:ind w:left="360"/>
        <w:rPr>
          <w:rFonts w:ascii="Arial" w:hAnsi="Arial" w:cs="Arial"/>
          <w:sz w:val="24"/>
          <w:szCs w:val="24"/>
        </w:rPr>
      </w:pPr>
      <w:r>
        <w:rPr>
          <w:rFonts w:ascii="Arial" w:hAnsi="Arial" w:cs="Arial"/>
          <w:sz w:val="24"/>
          <w:szCs w:val="24"/>
        </w:rPr>
        <w:t>There are also technological shifts in the way people access information</w:t>
      </w:r>
      <w:r w:rsidR="000B5908">
        <w:rPr>
          <w:rFonts w:ascii="Arial" w:hAnsi="Arial" w:cs="Arial"/>
          <w:sz w:val="24"/>
          <w:szCs w:val="24"/>
        </w:rPr>
        <w:t xml:space="preserve">. 58% of the UK population now </w:t>
      </w:r>
      <w:r w:rsidR="00225383">
        <w:rPr>
          <w:rFonts w:ascii="Arial" w:hAnsi="Arial" w:cs="Arial"/>
          <w:sz w:val="24"/>
          <w:szCs w:val="24"/>
        </w:rPr>
        <w:t xml:space="preserve">own a </w:t>
      </w:r>
      <w:r w:rsidR="000B5908">
        <w:rPr>
          <w:rFonts w:ascii="Arial" w:hAnsi="Arial" w:cs="Arial"/>
          <w:sz w:val="24"/>
          <w:szCs w:val="24"/>
        </w:rPr>
        <w:t>smart phone with 83% of the population having a mobile phone</w:t>
      </w:r>
      <w:r w:rsidR="000874AB">
        <w:rPr>
          <w:rFonts w:ascii="Arial" w:hAnsi="Arial" w:cs="Arial"/>
          <w:sz w:val="24"/>
          <w:szCs w:val="24"/>
          <w:vertAlign w:val="superscript"/>
        </w:rPr>
        <w:t>17</w:t>
      </w:r>
      <w:r w:rsidR="000B5908">
        <w:rPr>
          <w:rFonts w:ascii="Arial" w:hAnsi="Arial" w:cs="Arial"/>
          <w:sz w:val="24"/>
          <w:szCs w:val="24"/>
        </w:rPr>
        <w:t xml:space="preserve">. </w:t>
      </w:r>
      <w:r w:rsidR="00B602C7">
        <w:rPr>
          <w:rFonts w:ascii="Arial" w:hAnsi="Arial" w:cs="Arial"/>
          <w:sz w:val="24"/>
          <w:szCs w:val="24"/>
        </w:rPr>
        <w:t xml:space="preserve">Add to this 50% of the population owing a tablet by 2017 and you can see that online resources and information will become the preferred source of information. </w:t>
      </w:r>
    </w:p>
    <w:p w:rsidR="00116780" w:rsidRPr="000B60D1" w:rsidRDefault="000B5908" w:rsidP="000B60D1">
      <w:pPr>
        <w:ind w:left="360"/>
        <w:rPr>
          <w:rFonts w:ascii="Arial" w:hAnsi="Arial" w:cs="Arial"/>
          <w:sz w:val="24"/>
          <w:szCs w:val="24"/>
        </w:rPr>
      </w:pPr>
      <w:r>
        <w:rPr>
          <w:rFonts w:ascii="Arial" w:hAnsi="Arial" w:cs="Arial"/>
          <w:sz w:val="24"/>
          <w:szCs w:val="24"/>
        </w:rPr>
        <w:t>The Care Act clarifies the role of social workers and opens up the possibility of providing services in a different way.</w:t>
      </w:r>
      <w:r w:rsidR="00790DD0">
        <w:rPr>
          <w:rFonts w:ascii="Arial" w:hAnsi="Arial" w:cs="Arial"/>
          <w:sz w:val="24"/>
          <w:szCs w:val="24"/>
        </w:rPr>
        <w:t xml:space="preserve"> As the uptake of personal budgets increases, there will be </w:t>
      </w:r>
      <w:r w:rsidR="00225383">
        <w:rPr>
          <w:rFonts w:ascii="Arial" w:hAnsi="Arial" w:cs="Arial"/>
          <w:sz w:val="24"/>
          <w:szCs w:val="24"/>
        </w:rPr>
        <w:t>an</w:t>
      </w:r>
      <w:r w:rsidR="00790DD0">
        <w:rPr>
          <w:rFonts w:ascii="Arial" w:hAnsi="Arial" w:cs="Arial"/>
          <w:sz w:val="24"/>
          <w:szCs w:val="24"/>
        </w:rPr>
        <w:t xml:space="preserve"> increasing number of people working as personal assistants.</w:t>
      </w:r>
      <w:r w:rsidR="00EC6A2E">
        <w:rPr>
          <w:rFonts w:ascii="Arial" w:hAnsi="Arial" w:cs="Arial"/>
          <w:sz w:val="24"/>
          <w:szCs w:val="24"/>
        </w:rPr>
        <w:t xml:space="preserve"> Care homes will continue to provide a valuable service, although the market trend is towards larger units aimed at attracting self funders.</w:t>
      </w:r>
    </w:p>
    <w:p w:rsidR="00994B01" w:rsidRPr="00225383" w:rsidRDefault="005E4983" w:rsidP="0019782E">
      <w:pPr>
        <w:rPr>
          <w:rFonts w:ascii="Arial" w:hAnsi="Arial" w:cs="Arial"/>
          <w:b/>
          <w:sz w:val="28"/>
          <w:szCs w:val="28"/>
        </w:rPr>
      </w:pPr>
      <w:r w:rsidRPr="00225383">
        <w:rPr>
          <w:rFonts w:ascii="Arial" w:hAnsi="Arial" w:cs="Arial"/>
          <w:b/>
          <w:sz w:val="28"/>
          <w:szCs w:val="28"/>
        </w:rPr>
        <w:t>Strategic themes</w:t>
      </w:r>
    </w:p>
    <w:p w:rsidR="005E4983" w:rsidRDefault="005E4983" w:rsidP="00483055">
      <w:pPr>
        <w:rPr>
          <w:rFonts w:ascii="Arial" w:hAnsi="Arial" w:cs="Arial"/>
          <w:sz w:val="24"/>
          <w:szCs w:val="24"/>
        </w:rPr>
      </w:pPr>
      <w:r>
        <w:rPr>
          <w:rFonts w:ascii="Arial" w:hAnsi="Arial" w:cs="Arial"/>
          <w:sz w:val="24"/>
          <w:szCs w:val="24"/>
        </w:rPr>
        <w:t xml:space="preserve">The themes below are informed by the above analysis and through discussions with stakeholders. At this stage in the development of the strategy they posit some aims and high level outcomes then suggest actions that would help contribute to meeting the outcomes. </w:t>
      </w:r>
      <w:r w:rsidR="00B1714D">
        <w:rPr>
          <w:rFonts w:ascii="Arial" w:hAnsi="Arial" w:cs="Arial"/>
          <w:sz w:val="24"/>
          <w:szCs w:val="24"/>
        </w:rPr>
        <w:t xml:space="preserve">There will be a sub group of the Adult Social Care Modernisation </w:t>
      </w:r>
      <w:r w:rsidR="00225383">
        <w:rPr>
          <w:rFonts w:ascii="Arial" w:hAnsi="Arial" w:cs="Arial"/>
          <w:sz w:val="24"/>
          <w:szCs w:val="24"/>
        </w:rPr>
        <w:t xml:space="preserve">Board </w:t>
      </w:r>
      <w:r w:rsidR="00B1714D">
        <w:rPr>
          <w:rFonts w:ascii="Arial" w:hAnsi="Arial" w:cs="Arial"/>
          <w:sz w:val="24"/>
          <w:szCs w:val="24"/>
        </w:rPr>
        <w:t>that will lead and steer the work of the strategy</w:t>
      </w:r>
      <w:r w:rsidR="00225383">
        <w:rPr>
          <w:rFonts w:ascii="Arial" w:hAnsi="Arial" w:cs="Arial"/>
          <w:sz w:val="24"/>
          <w:szCs w:val="24"/>
        </w:rPr>
        <w:t>.</w:t>
      </w:r>
    </w:p>
    <w:p w:rsidR="00483055" w:rsidRPr="00225383" w:rsidRDefault="00483055" w:rsidP="00483055">
      <w:pPr>
        <w:rPr>
          <w:rFonts w:ascii="Arial" w:hAnsi="Arial" w:cs="Arial"/>
          <w:b/>
          <w:sz w:val="24"/>
          <w:szCs w:val="24"/>
        </w:rPr>
      </w:pPr>
      <w:r w:rsidRPr="00225383">
        <w:rPr>
          <w:rFonts w:ascii="Arial" w:hAnsi="Arial" w:cs="Arial"/>
          <w:b/>
          <w:sz w:val="24"/>
          <w:szCs w:val="24"/>
        </w:rPr>
        <w:t xml:space="preserve">Workforce Remodelling </w:t>
      </w:r>
    </w:p>
    <w:tbl>
      <w:tblPr>
        <w:tblStyle w:val="TableGrid"/>
        <w:tblW w:w="0" w:type="auto"/>
        <w:tblLook w:val="04A0" w:firstRow="1" w:lastRow="0" w:firstColumn="1" w:lastColumn="0" w:noHBand="0" w:noVBand="1"/>
      </w:tblPr>
      <w:tblGrid>
        <w:gridCol w:w="9242"/>
      </w:tblGrid>
      <w:tr w:rsidR="00232DFC" w:rsidTr="00225383">
        <w:tc>
          <w:tcPr>
            <w:tcW w:w="9242" w:type="dxa"/>
            <w:shd w:val="clear" w:color="auto" w:fill="D9D9D9" w:themeFill="background1" w:themeFillShade="D9"/>
          </w:tcPr>
          <w:p w:rsidR="00232DFC" w:rsidRPr="00232DFC" w:rsidRDefault="00232DFC" w:rsidP="000E547A">
            <w:pPr>
              <w:rPr>
                <w:rFonts w:ascii="Arial" w:hAnsi="Arial" w:cs="Arial"/>
                <w:sz w:val="24"/>
                <w:szCs w:val="24"/>
              </w:rPr>
            </w:pPr>
            <w:r w:rsidRPr="00232DFC">
              <w:rPr>
                <w:rFonts w:ascii="Arial" w:hAnsi="Arial" w:cs="Arial"/>
                <w:b/>
                <w:sz w:val="24"/>
                <w:szCs w:val="24"/>
              </w:rPr>
              <w:t xml:space="preserve">Strategic aim: </w:t>
            </w:r>
            <w:r>
              <w:rPr>
                <w:rFonts w:ascii="Arial" w:hAnsi="Arial" w:cs="Arial"/>
                <w:sz w:val="24"/>
                <w:szCs w:val="24"/>
              </w:rPr>
              <w:t xml:space="preserve">To </w:t>
            </w:r>
            <w:r w:rsidR="000E547A">
              <w:rPr>
                <w:rFonts w:ascii="Arial" w:hAnsi="Arial" w:cs="Arial"/>
                <w:sz w:val="24"/>
                <w:szCs w:val="24"/>
              </w:rPr>
              <w:t>ensure that the workforce is able to adapt to changing roles and the need to provide services differently</w:t>
            </w:r>
          </w:p>
        </w:tc>
      </w:tr>
      <w:tr w:rsidR="000E547A" w:rsidTr="00232DFC">
        <w:tc>
          <w:tcPr>
            <w:tcW w:w="9242" w:type="dxa"/>
          </w:tcPr>
          <w:p w:rsidR="000E547A" w:rsidRDefault="000E547A" w:rsidP="000E547A">
            <w:pPr>
              <w:rPr>
                <w:rFonts w:ascii="Arial" w:hAnsi="Arial" w:cs="Arial"/>
                <w:b/>
                <w:sz w:val="24"/>
                <w:szCs w:val="24"/>
              </w:rPr>
            </w:pPr>
            <w:r>
              <w:rPr>
                <w:rFonts w:ascii="Arial" w:hAnsi="Arial" w:cs="Arial"/>
                <w:b/>
                <w:sz w:val="24"/>
                <w:szCs w:val="24"/>
              </w:rPr>
              <w:t xml:space="preserve">High level outcomes: </w:t>
            </w:r>
          </w:p>
          <w:p w:rsidR="000E547A" w:rsidRDefault="00E905C0" w:rsidP="000E547A">
            <w:pPr>
              <w:pStyle w:val="ListParagraph"/>
              <w:numPr>
                <w:ilvl w:val="0"/>
                <w:numId w:val="24"/>
              </w:numPr>
              <w:rPr>
                <w:rFonts w:ascii="Arial" w:hAnsi="Arial" w:cs="Arial"/>
                <w:sz w:val="24"/>
                <w:szCs w:val="24"/>
              </w:rPr>
            </w:pPr>
            <w:r>
              <w:rPr>
                <w:rFonts w:ascii="Arial" w:hAnsi="Arial" w:cs="Arial"/>
                <w:sz w:val="24"/>
                <w:szCs w:val="24"/>
              </w:rPr>
              <w:t>New ways of delivering services</w:t>
            </w:r>
            <w:r w:rsidR="0045328D">
              <w:rPr>
                <w:rFonts w:ascii="Arial" w:hAnsi="Arial" w:cs="Arial"/>
                <w:sz w:val="24"/>
                <w:szCs w:val="24"/>
              </w:rPr>
              <w:t xml:space="preserve"> that are more cost effective</w:t>
            </w:r>
          </w:p>
          <w:p w:rsidR="00E905C0" w:rsidRPr="00E905C0" w:rsidRDefault="00E905C0" w:rsidP="00E905C0">
            <w:pPr>
              <w:pStyle w:val="ListParagraph"/>
              <w:numPr>
                <w:ilvl w:val="0"/>
                <w:numId w:val="24"/>
              </w:numPr>
              <w:rPr>
                <w:rFonts w:ascii="Arial" w:hAnsi="Arial" w:cs="Arial"/>
                <w:sz w:val="24"/>
                <w:szCs w:val="24"/>
              </w:rPr>
            </w:pPr>
            <w:r>
              <w:rPr>
                <w:rFonts w:ascii="Arial" w:hAnsi="Arial" w:cs="Arial"/>
                <w:sz w:val="24"/>
                <w:szCs w:val="24"/>
              </w:rPr>
              <w:t>New and emerging roles and ways of working</w:t>
            </w:r>
          </w:p>
        </w:tc>
      </w:tr>
      <w:tr w:rsidR="006632B9" w:rsidTr="00232DFC">
        <w:tc>
          <w:tcPr>
            <w:tcW w:w="9242" w:type="dxa"/>
          </w:tcPr>
          <w:p w:rsidR="006632B9" w:rsidRDefault="005E4983" w:rsidP="000E547A">
            <w:pPr>
              <w:rPr>
                <w:rFonts w:ascii="Arial" w:hAnsi="Arial" w:cs="Arial"/>
                <w:b/>
                <w:sz w:val="24"/>
                <w:szCs w:val="24"/>
              </w:rPr>
            </w:pPr>
            <w:r>
              <w:rPr>
                <w:rFonts w:ascii="Arial" w:hAnsi="Arial" w:cs="Arial"/>
                <w:b/>
                <w:sz w:val="24"/>
                <w:szCs w:val="24"/>
              </w:rPr>
              <w:t>Actions:</w:t>
            </w:r>
          </w:p>
          <w:p w:rsidR="005A6D66" w:rsidRDefault="005A6D66" w:rsidP="005A6D66">
            <w:pPr>
              <w:pStyle w:val="ListParagraph"/>
              <w:numPr>
                <w:ilvl w:val="0"/>
                <w:numId w:val="34"/>
              </w:numPr>
              <w:rPr>
                <w:rFonts w:ascii="Arial" w:hAnsi="Arial" w:cs="Arial"/>
                <w:sz w:val="24"/>
                <w:szCs w:val="24"/>
              </w:rPr>
            </w:pPr>
            <w:r>
              <w:rPr>
                <w:rFonts w:ascii="Arial" w:hAnsi="Arial" w:cs="Arial"/>
                <w:sz w:val="24"/>
                <w:szCs w:val="24"/>
              </w:rPr>
              <w:t>Work with commissioners, services and contracts to ensure the implications to workforce are considered in a timely manner.</w:t>
            </w:r>
          </w:p>
          <w:p w:rsidR="005A6D66" w:rsidRDefault="005A6D66" w:rsidP="005A6D66">
            <w:pPr>
              <w:pStyle w:val="ListParagraph"/>
              <w:numPr>
                <w:ilvl w:val="0"/>
                <w:numId w:val="34"/>
              </w:numPr>
              <w:rPr>
                <w:rFonts w:ascii="Arial" w:hAnsi="Arial" w:cs="Arial"/>
                <w:sz w:val="24"/>
                <w:szCs w:val="24"/>
              </w:rPr>
            </w:pPr>
            <w:r>
              <w:rPr>
                <w:rFonts w:ascii="Arial" w:hAnsi="Arial" w:cs="Arial"/>
                <w:sz w:val="24"/>
                <w:szCs w:val="24"/>
              </w:rPr>
              <w:t xml:space="preserve">Share learning and best practice with colleagues across region e.g. Health </w:t>
            </w:r>
            <w:r w:rsidR="00225383">
              <w:rPr>
                <w:rFonts w:ascii="Arial" w:hAnsi="Arial" w:cs="Arial"/>
                <w:sz w:val="24"/>
                <w:szCs w:val="24"/>
              </w:rPr>
              <w:t>I</w:t>
            </w:r>
            <w:r>
              <w:rPr>
                <w:rFonts w:ascii="Arial" w:hAnsi="Arial" w:cs="Arial"/>
                <w:sz w:val="24"/>
                <w:szCs w:val="24"/>
              </w:rPr>
              <w:t>ntegration Group and Skills for Care regional group</w:t>
            </w:r>
            <w:r w:rsidR="0045328D">
              <w:rPr>
                <w:rFonts w:ascii="Arial" w:hAnsi="Arial" w:cs="Arial"/>
                <w:sz w:val="24"/>
                <w:szCs w:val="24"/>
              </w:rPr>
              <w:t xml:space="preserve"> to ensure a resilient and agile workforce</w:t>
            </w:r>
            <w:r>
              <w:rPr>
                <w:rFonts w:ascii="Arial" w:hAnsi="Arial" w:cs="Arial"/>
                <w:sz w:val="24"/>
                <w:szCs w:val="24"/>
              </w:rPr>
              <w:t>.</w:t>
            </w:r>
          </w:p>
          <w:p w:rsidR="005A6D66" w:rsidRDefault="005A6D66" w:rsidP="005A6D66">
            <w:pPr>
              <w:pStyle w:val="ListParagraph"/>
              <w:numPr>
                <w:ilvl w:val="0"/>
                <w:numId w:val="34"/>
              </w:numPr>
              <w:rPr>
                <w:rFonts w:ascii="Arial" w:hAnsi="Arial" w:cs="Arial"/>
                <w:sz w:val="24"/>
                <w:szCs w:val="24"/>
              </w:rPr>
            </w:pPr>
            <w:r>
              <w:rPr>
                <w:rFonts w:ascii="Arial" w:hAnsi="Arial" w:cs="Arial"/>
                <w:sz w:val="24"/>
                <w:szCs w:val="24"/>
              </w:rPr>
              <w:t>To support the development and dissemination of career pathways</w:t>
            </w:r>
          </w:p>
          <w:p w:rsidR="005A6D66" w:rsidRPr="003B2F96" w:rsidRDefault="005A6D66" w:rsidP="003B2F96">
            <w:pPr>
              <w:rPr>
                <w:rFonts w:ascii="Arial" w:hAnsi="Arial" w:cs="Arial"/>
                <w:sz w:val="24"/>
                <w:szCs w:val="24"/>
              </w:rPr>
            </w:pPr>
          </w:p>
        </w:tc>
      </w:tr>
    </w:tbl>
    <w:p w:rsidR="00225383" w:rsidRPr="00BA21A9" w:rsidRDefault="00225383" w:rsidP="006B3002">
      <w:pPr>
        <w:rPr>
          <w:rFonts w:ascii="Arial" w:hAnsi="Arial" w:cs="Arial"/>
          <w:b/>
          <w:sz w:val="16"/>
          <w:szCs w:val="16"/>
        </w:rPr>
      </w:pPr>
    </w:p>
    <w:p w:rsidR="000B60D1" w:rsidRDefault="000B60D1" w:rsidP="006B3002">
      <w:pPr>
        <w:rPr>
          <w:rFonts w:ascii="Arial" w:hAnsi="Arial" w:cs="Arial"/>
          <w:b/>
          <w:sz w:val="24"/>
          <w:szCs w:val="24"/>
        </w:rPr>
      </w:pPr>
    </w:p>
    <w:p w:rsidR="000B60D1" w:rsidRDefault="000B60D1" w:rsidP="006B3002">
      <w:pPr>
        <w:rPr>
          <w:rFonts w:ascii="Arial" w:hAnsi="Arial" w:cs="Arial"/>
          <w:b/>
          <w:sz w:val="24"/>
          <w:szCs w:val="24"/>
        </w:rPr>
      </w:pPr>
    </w:p>
    <w:p w:rsidR="000B60D1" w:rsidRDefault="000B60D1" w:rsidP="006B3002">
      <w:pPr>
        <w:rPr>
          <w:rFonts w:ascii="Arial" w:hAnsi="Arial" w:cs="Arial"/>
          <w:b/>
          <w:sz w:val="24"/>
          <w:szCs w:val="24"/>
        </w:rPr>
      </w:pPr>
    </w:p>
    <w:p w:rsidR="000B60D1" w:rsidRDefault="000B60D1" w:rsidP="006B3002">
      <w:pPr>
        <w:rPr>
          <w:rFonts w:ascii="Arial" w:hAnsi="Arial" w:cs="Arial"/>
          <w:b/>
          <w:sz w:val="24"/>
          <w:szCs w:val="24"/>
        </w:rPr>
      </w:pPr>
    </w:p>
    <w:p w:rsidR="000B60D1" w:rsidRDefault="000B60D1" w:rsidP="006B3002">
      <w:pPr>
        <w:rPr>
          <w:rFonts w:ascii="Arial" w:hAnsi="Arial" w:cs="Arial"/>
          <w:b/>
          <w:sz w:val="24"/>
          <w:szCs w:val="24"/>
        </w:rPr>
      </w:pPr>
    </w:p>
    <w:p w:rsidR="000E547A" w:rsidRPr="00225383" w:rsidRDefault="008E497D" w:rsidP="006B3002">
      <w:pPr>
        <w:rPr>
          <w:rFonts w:ascii="Arial" w:hAnsi="Arial" w:cs="Arial"/>
          <w:b/>
          <w:sz w:val="24"/>
          <w:szCs w:val="24"/>
        </w:rPr>
      </w:pPr>
      <w:r w:rsidRPr="00225383">
        <w:rPr>
          <w:rFonts w:ascii="Arial" w:hAnsi="Arial" w:cs="Arial"/>
          <w:b/>
          <w:sz w:val="24"/>
          <w:szCs w:val="24"/>
        </w:rPr>
        <w:t>Recruitment and Retention</w:t>
      </w:r>
    </w:p>
    <w:tbl>
      <w:tblPr>
        <w:tblStyle w:val="TableGrid"/>
        <w:tblW w:w="0" w:type="auto"/>
        <w:tblLook w:val="04A0" w:firstRow="1" w:lastRow="0" w:firstColumn="1" w:lastColumn="0" w:noHBand="0" w:noVBand="1"/>
      </w:tblPr>
      <w:tblGrid>
        <w:gridCol w:w="9242"/>
      </w:tblGrid>
      <w:tr w:rsidR="006632B9" w:rsidTr="00225383">
        <w:tc>
          <w:tcPr>
            <w:tcW w:w="9242" w:type="dxa"/>
            <w:shd w:val="clear" w:color="auto" w:fill="D9D9D9" w:themeFill="background1" w:themeFillShade="D9"/>
          </w:tcPr>
          <w:p w:rsidR="006632B9" w:rsidRPr="00232DFC" w:rsidRDefault="006632B9" w:rsidP="006632B9">
            <w:pPr>
              <w:rPr>
                <w:rFonts w:ascii="Arial" w:hAnsi="Arial" w:cs="Arial"/>
                <w:sz w:val="24"/>
                <w:szCs w:val="24"/>
              </w:rPr>
            </w:pPr>
            <w:r>
              <w:rPr>
                <w:rFonts w:ascii="Arial" w:hAnsi="Arial" w:cs="Arial"/>
                <w:b/>
                <w:sz w:val="24"/>
                <w:szCs w:val="24"/>
              </w:rPr>
              <w:t xml:space="preserve">Strategic aim: </w:t>
            </w:r>
            <w:r>
              <w:rPr>
                <w:rFonts w:ascii="Arial" w:hAnsi="Arial" w:cs="Arial"/>
                <w:sz w:val="24"/>
                <w:szCs w:val="24"/>
              </w:rPr>
              <w:t>To assist the sector in recruiting and retaining the people needed to deliver an effective service</w:t>
            </w:r>
          </w:p>
        </w:tc>
      </w:tr>
      <w:tr w:rsidR="006632B9" w:rsidTr="006632B9">
        <w:tc>
          <w:tcPr>
            <w:tcW w:w="9242" w:type="dxa"/>
          </w:tcPr>
          <w:p w:rsidR="006632B9" w:rsidRDefault="006632B9" w:rsidP="006632B9">
            <w:pPr>
              <w:rPr>
                <w:rFonts w:ascii="Arial" w:hAnsi="Arial" w:cs="Arial"/>
                <w:b/>
                <w:sz w:val="24"/>
                <w:szCs w:val="24"/>
              </w:rPr>
            </w:pPr>
            <w:r w:rsidRPr="00F37799">
              <w:rPr>
                <w:rFonts w:ascii="Arial" w:hAnsi="Arial" w:cs="Arial"/>
                <w:b/>
                <w:sz w:val="24"/>
                <w:szCs w:val="24"/>
              </w:rPr>
              <w:t xml:space="preserve">High level outcomes: </w:t>
            </w:r>
          </w:p>
          <w:p w:rsidR="006632B9" w:rsidRDefault="006632B9" w:rsidP="00D86A3F">
            <w:pPr>
              <w:pStyle w:val="ListParagraph"/>
              <w:numPr>
                <w:ilvl w:val="0"/>
                <w:numId w:val="27"/>
              </w:numPr>
              <w:rPr>
                <w:rFonts w:ascii="Arial" w:hAnsi="Arial" w:cs="Arial"/>
                <w:sz w:val="24"/>
                <w:szCs w:val="24"/>
              </w:rPr>
            </w:pPr>
            <w:r>
              <w:rPr>
                <w:rFonts w:ascii="Arial" w:hAnsi="Arial" w:cs="Arial"/>
                <w:sz w:val="24"/>
                <w:szCs w:val="24"/>
              </w:rPr>
              <w:t>Decrease</w:t>
            </w:r>
            <w:r w:rsidR="00D86A3F">
              <w:rPr>
                <w:rFonts w:ascii="Arial" w:hAnsi="Arial" w:cs="Arial"/>
                <w:sz w:val="24"/>
                <w:szCs w:val="24"/>
              </w:rPr>
              <w:t>d</w:t>
            </w:r>
            <w:r>
              <w:rPr>
                <w:rFonts w:ascii="Arial" w:hAnsi="Arial" w:cs="Arial"/>
                <w:sz w:val="24"/>
                <w:szCs w:val="24"/>
              </w:rPr>
              <w:t xml:space="preserve"> staff vacancy levels</w:t>
            </w:r>
          </w:p>
          <w:p w:rsidR="006632B9" w:rsidRDefault="006632B9" w:rsidP="00D86A3F">
            <w:pPr>
              <w:pStyle w:val="ListParagraph"/>
              <w:numPr>
                <w:ilvl w:val="0"/>
                <w:numId w:val="27"/>
              </w:numPr>
              <w:rPr>
                <w:rFonts w:ascii="Arial" w:hAnsi="Arial" w:cs="Arial"/>
                <w:sz w:val="24"/>
                <w:szCs w:val="24"/>
              </w:rPr>
            </w:pPr>
            <w:r>
              <w:rPr>
                <w:rFonts w:ascii="Arial" w:hAnsi="Arial" w:cs="Arial"/>
                <w:sz w:val="24"/>
                <w:szCs w:val="24"/>
              </w:rPr>
              <w:t>Decrease</w:t>
            </w:r>
            <w:r w:rsidR="00D86A3F">
              <w:rPr>
                <w:rFonts w:ascii="Arial" w:hAnsi="Arial" w:cs="Arial"/>
                <w:sz w:val="24"/>
                <w:szCs w:val="24"/>
              </w:rPr>
              <w:t>d</w:t>
            </w:r>
            <w:r>
              <w:rPr>
                <w:rFonts w:ascii="Arial" w:hAnsi="Arial" w:cs="Arial"/>
                <w:sz w:val="24"/>
                <w:szCs w:val="24"/>
              </w:rPr>
              <w:t xml:space="preserve"> rate of turnover</w:t>
            </w:r>
          </w:p>
          <w:p w:rsidR="006632B9" w:rsidRDefault="00D86A3F" w:rsidP="00D86A3F">
            <w:pPr>
              <w:pStyle w:val="ListParagraph"/>
              <w:numPr>
                <w:ilvl w:val="0"/>
                <w:numId w:val="27"/>
              </w:numPr>
              <w:rPr>
                <w:rFonts w:ascii="Arial" w:hAnsi="Arial" w:cs="Arial"/>
                <w:sz w:val="24"/>
                <w:szCs w:val="24"/>
              </w:rPr>
            </w:pPr>
            <w:r>
              <w:rPr>
                <w:rFonts w:ascii="Arial" w:hAnsi="Arial" w:cs="Arial"/>
                <w:sz w:val="24"/>
                <w:szCs w:val="24"/>
              </w:rPr>
              <w:t>Increase in status of adult social care work</w:t>
            </w:r>
          </w:p>
          <w:p w:rsidR="00D86A3F" w:rsidRPr="001748FB" w:rsidRDefault="00D86A3F" w:rsidP="001748FB">
            <w:pPr>
              <w:pStyle w:val="ListParagraph"/>
              <w:numPr>
                <w:ilvl w:val="0"/>
                <w:numId w:val="27"/>
              </w:numPr>
              <w:rPr>
                <w:rFonts w:ascii="Arial" w:hAnsi="Arial" w:cs="Arial"/>
                <w:sz w:val="24"/>
                <w:szCs w:val="24"/>
              </w:rPr>
            </w:pPr>
            <w:r w:rsidRPr="00745920">
              <w:rPr>
                <w:rFonts w:ascii="Arial" w:hAnsi="Arial" w:cs="Arial"/>
                <w:sz w:val="24"/>
                <w:szCs w:val="24"/>
              </w:rPr>
              <w:t>T</w:t>
            </w:r>
            <w:r>
              <w:rPr>
                <w:rFonts w:ascii="Arial" w:hAnsi="Arial" w:cs="Arial"/>
                <w:sz w:val="24"/>
                <w:szCs w:val="24"/>
              </w:rPr>
              <w:t>he workforce profile reflects that of the community it serves</w:t>
            </w:r>
          </w:p>
        </w:tc>
      </w:tr>
      <w:tr w:rsidR="005E4983" w:rsidTr="006632B9">
        <w:tc>
          <w:tcPr>
            <w:tcW w:w="9242" w:type="dxa"/>
          </w:tcPr>
          <w:p w:rsidR="00A8312E" w:rsidRPr="00A8312E" w:rsidRDefault="00A8312E" w:rsidP="00A8312E">
            <w:pPr>
              <w:rPr>
                <w:rFonts w:ascii="Arial" w:hAnsi="Arial" w:cs="Arial"/>
                <w:b/>
                <w:sz w:val="24"/>
                <w:szCs w:val="24"/>
              </w:rPr>
            </w:pPr>
            <w:r>
              <w:rPr>
                <w:rFonts w:ascii="Arial" w:hAnsi="Arial" w:cs="Arial"/>
                <w:b/>
                <w:sz w:val="24"/>
                <w:szCs w:val="24"/>
              </w:rPr>
              <w:t>Actions</w:t>
            </w:r>
          </w:p>
          <w:p w:rsidR="005E4983" w:rsidRDefault="00A8312E" w:rsidP="00A8312E">
            <w:pPr>
              <w:pStyle w:val="ListParagraph"/>
              <w:numPr>
                <w:ilvl w:val="0"/>
                <w:numId w:val="32"/>
              </w:numPr>
              <w:rPr>
                <w:rFonts w:ascii="Arial" w:hAnsi="Arial" w:cs="Arial"/>
                <w:sz w:val="24"/>
                <w:szCs w:val="24"/>
              </w:rPr>
            </w:pPr>
            <w:r>
              <w:rPr>
                <w:rFonts w:ascii="Arial" w:hAnsi="Arial" w:cs="Arial"/>
                <w:sz w:val="24"/>
                <w:szCs w:val="24"/>
              </w:rPr>
              <w:t>Support the take up of the emerging values based recruitment tool.</w:t>
            </w:r>
          </w:p>
          <w:p w:rsidR="00A8312E" w:rsidRDefault="00A8312E" w:rsidP="00A8312E">
            <w:pPr>
              <w:pStyle w:val="ListParagraph"/>
              <w:numPr>
                <w:ilvl w:val="0"/>
                <w:numId w:val="32"/>
              </w:numPr>
              <w:rPr>
                <w:rFonts w:ascii="Arial" w:hAnsi="Arial" w:cs="Arial"/>
                <w:sz w:val="24"/>
                <w:szCs w:val="24"/>
              </w:rPr>
            </w:pPr>
            <w:r>
              <w:rPr>
                <w:rFonts w:ascii="Arial" w:hAnsi="Arial" w:cs="Arial"/>
                <w:sz w:val="24"/>
                <w:szCs w:val="24"/>
              </w:rPr>
              <w:t>To encourage the involvement of service users in recruitment and retention, including micro employers</w:t>
            </w:r>
          </w:p>
          <w:p w:rsidR="00A8312E" w:rsidRPr="003B2F96" w:rsidRDefault="00A8312E" w:rsidP="00A8312E">
            <w:pPr>
              <w:pStyle w:val="ListParagraph"/>
              <w:numPr>
                <w:ilvl w:val="0"/>
                <w:numId w:val="32"/>
              </w:numPr>
              <w:rPr>
                <w:rFonts w:ascii="Arial" w:hAnsi="Arial" w:cs="Arial"/>
                <w:sz w:val="24"/>
                <w:szCs w:val="24"/>
              </w:rPr>
            </w:pPr>
            <w:r>
              <w:rPr>
                <w:rFonts w:ascii="Arial" w:hAnsi="Arial" w:cs="Arial"/>
                <w:sz w:val="24"/>
                <w:szCs w:val="24"/>
              </w:rPr>
              <w:t>To promote and support provider</w:t>
            </w:r>
            <w:r w:rsidR="00225383">
              <w:rPr>
                <w:rFonts w:ascii="Arial" w:hAnsi="Arial" w:cs="Arial"/>
                <w:sz w:val="24"/>
                <w:szCs w:val="24"/>
              </w:rPr>
              <w:t>s</w:t>
            </w:r>
            <w:r>
              <w:rPr>
                <w:rFonts w:ascii="Arial" w:hAnsi="Arial" w:cs="Arial"/>
                <w:sz w:val="24"/>
                <w:szCs w:val="24"/>
              </w:rPr>
              <w:t xml:space="preserve"> in effective recruitment and retention e.g. the Skills for Care </w:t>
            </w:r>
            <w:r w:rsidRPr="00A8312E">
              <w:rPr>
                <w:rFonts w:ascii="Arial" w:hAnsi="Arial" w:cs="Arial"/>
                <w:i/>
                <w:sz w:val="24"/>
                <w:szCs w:val="24"/>
              </w:rPr>
              <w:t>Finder, Keepers</w:t>
            </w:r>
            <w:r w:rsidR="005A6D66">
              <w:rPr>
                <w:rFonts w:ascii="Arial" w:hAnsi="Arial" w:cs="Arial"/>
                <w:sz w:val="24"/>
                <w:szCs w:val="24"/>
                <w:vertAlign w:val="superscript"/>
              </w:rPr>
              <w:t>16</w:t>
            </w:r>
          </w:p>
          <w:p w:rsidR="003B2F96" w:rsidRDefault="003B2F96" w:rsidP="00A8312E">
            <w:pPr>
              <w:pStyle w:val="ListParagraph"/>
              <w:numPr>
                <w:ilvl w:val="0"/>
                <w:numId w:val="32"/>
              </w:numPr>
              <w:rPr>
                <w:rFonts w:ascii="Arial" w:hAnsi="Arial" w:cs="Arial"/>
                <w:sz w:val="24"/>
                <w:szCs w:val="24"/>
              </w:rPr>
            </w:pPr>
            <w:r>
              <w:rPr>
                <w:rFonts w:ascii="Arial" w:hAnsi="Arial" w:cs="Arial"/>
                <w:sz w:val="24"/>
                <w:szCs w:val="24"/>
              </w:rPr>
              <w:t>To support the uptake of apprentices in the sector</w:t>
            </w:r>
          </w:p>
          <w:p w:rsidR="003B2F96" w:rsidRDefault="003B2F96" w:rsidP="00A8312E">
            <w:pPr>
              <w:pStyle w:val="ListParagraph"/>
              <w:numPr>
                <w:ilvl w:val="0"/>
                <w:numId w:val="32"/>
              </w:numPr>
              <w:rPr>
                <w:rFonts w:ascii="Arial" w:hAnsi="Arial" w:cs="Arial"/>
                <w:sz w:val="24"/>
                <w:szCs w:val="24"/>
              </w:rPr>
            </w:pPr>
            <w:r>
              <w:rPr>
                <w:rFonts w:ascii="Arial" w:hAnsi="Arial" w:cs="Arial"/>
                <w:sz w:val="24"/>
                <w:szCs w:val="24"/>
              </w:rPr>
              <w:t>To support the Care Ambassadors scheme</w:t>
            </w:r>
            <w:r w:rsidR="00790DD0">
              <w:rPr>
                <w:rFonts w:ascii="Arial" w:hAnsi="Arial" w:cs="Arial"/>
                <w:sz w:val="24"/>
                <w:szCs w:val="24"/>
                <w:vertAlign w:val="superscript"/>
              </w:rPr>
              <w:t>18</w:t>
            </w:r>
          </w:p>
          <w:p w:rsidR="003B2F96" w:rsidRDefault="003B2F96" w:rsidP="00A8312E">
            <w:pPr>
              <w:pStyle w:val="ListParagraph"/>
              <w:numPr>
                <w:ilvl w:val="0"/>
                <w:numId w:val="32"/>
              </w:numPr>
              <w:rPr>
                <w:rFonts w:ascii="Arial" w:hAnsi="Arial" w:cs="Arial"/>
                <w:sz w:val="24"/>
                <w:szCs w:val="24"/>
              </w:rPr>
            </w:pPr>
            <w:r>
              <w:rPr>
                <w:rFonts w:ascii="Arial" w:hAnsi="Arial" w:cs="Arial"/>
                <w:sz w:val="24"/>
                <w:szCs w:val="24"/>
              </w:rPr>
              <w:t xml:space="preserve">To </w:t>
            </w:r>
            <w:r w:rsidR="001748FB">
              <w:rPr>
                <w:rFonts w:ascii="Arial" w:hAnsi="Arial" w:cs="Arial"/>
                <w:sz w:val="24"/>
                <w:szCs w:val="24"/>
              </w:rPr>
              <w:t>foster links between employers, schools and colleges</w:t>
            </w:r>
          </w:p>
          <w:p w:rsidR="001748FB" w:rsidRDefault="00225383" w:rsidP="00A8312E">
            <w:pPr>
              <w:pStyle w:val="ListParagraph"/>
              <w:numPr>
                <w:ilvl w:val="0"/>
                <w:numId w:val="32"/>
              </w:numPr>
              <w:rPr>
                <w:rFonts w:ascii="Arial" w:hAnsi="Arial" w:cs="Arial"/>
                <w:sz w:val="24"/>
                <w:szCs w:val="24"/>
              </w:rPr>
            </w:pPr>
            <w:r>
              <w:rPr>
                <w:rFonts w:ascii="Arial" w:hAnsi="Arial" w:cs="Arial"/>
                <w:sz w:val="24"/>
                <w:szCs w:val="24"/>
              </w:rPr>
              <w:t>Mandate</w:t>
            </w:r>
            <w:r w:rsidR="001748FB">
              <w:rPr>
                <w:rFonts w:ascii="Arial" w:hAnsi="Arial" w:cs="Arial"/>
                <w:sz w:val="24"/>
                <w:szCs w:val="24"/>
              </w:rPr>
              <w:t xml:space="preserve"> the uptake of the National Minimum Data Set to help inform workforce intelligence</w:t>
            </w:r>
            <w:r w:rsidR="00BA21A9">
              <w:rPr>
                <w:rFonts w:ascii="Arial" w:hAnsi="Arial" w:cs="Arial"/>
                <w:sz w:val="24"/>
                <w:szCs w:val="24"/>
              </w:rPr>
              <w:t xml:space="preserve"> amongst our contracted providers</w:t>
            </w:r>
          </w:p>
          <w:p w:rsidR="007C27CF" w:rsidRDefault="007C27CF" w:rsidP="00A8312E">
            <w:pPr>
              <w:pStyle w:val="ListParagraph"/>
              <w:numPr>
                <w:ilvl w:val="0"/>
                <w:numId w:val="32"/>
              </w:numPr>
              <w:rPr>
                <w:rFonts w:ascii="Arial" w:hAnsi="Arial" w:cs="Arial"/>
                <w:sz w:val="24"/>
                <w:szCs w:val="24"/>
              </w:rPr>
            </w:pPr>
            <w:r>
              <w:rPr>
                <w:rFonts w:ascii="Arial" w:hAnsi="Arial" w:cs="Arial"/>
                <w:sz w:val="24"/>
                <w:szCs w:val="24"/>
              </w:rPr>
              <w:t xml:space="preserve">Through </w:t>
            </w:r>
            <w:r w:rsidR="00BA21A9">
              <w:rPr>
                <w:rFonts w:ascii="Arial" w:hAnsi="Arial" w:cs="Arial"/>
                <w:sz w:val="24"/>
                <w:szCs w:val="24"/>
              </w:rPr>
              <w:t xml:space="preserve">Health Education </w:t>
            </w:r>
            <w:r>
              <w:rPr>
                <w:rFonts w:ascii="Arial" w:hAnsi="Arial" w:cs="Arial"/>
                <w:sz w:val="24"/>
                <w:szCs w:val="24"/>
              </w:rPr>
              <w:t xml:space="preserve">Kent Surrey and Sussex </w:t>
            </w:r>
            <w:r w:rsidR="00BA21A9">
              <w:rPr>
                <w:rFonts w:ascii="Arial" w:hAnsi="Arial" w:cs="Arial"/>
                <w:sz w:val="24"/>
                <w:szCs w:val="24"/>
              </w:rPr>
              <w:t xml:space="preserve">assess the potential </w:t>
            </w:r>
            <w:r>
              <w:rPr>
                <w:rFonts w:ascii="Arial" w:hAnsi="Arial" w:cs="Arial"/>
                <w:sz w:val="24"/>
                <w:szCs w:val="24"/>
              </w:rPr>
              <w:t xml:space="preserve">to work with </w:t>
            </w:r>
            <w:r w:rsidR="00BA21A9">
              <w:rPr>
                <w:rFonts w:ascii="Arial" w:hAnsi="Arial" w:cs="Arial"/>
                <w:sz w:val="24"/>
                <w:szCs w:val="24"/>
              </w:rPr>
              <w:t xml:space="preserve">the </w:t>
            </w:r>
            <w:r>
              <w:rPr>
                <w:rFonts w:ascii="Arial" w:hAnsi="Arial" w:cs="Arial"/>
                <w:sz w:val="24"/>
                <w:szCs w:val="24"/>
              </w:rPr>
              <w:t>recruitment hub</w:t>
            </w:r>
          </w:p>
          <w:p w:rsidR="007C27CF" w:rsidRDefault="007C27CF" w:rsidP="00A8312E">
            <w:pPr>
              <w:pStyle w:val="ListParagraph"/>
              <w:numPr>
                <w:ilvl w:val="0"/>
                <w:numId w:val="32"/>
              </w:numPr>
              <w:rPr>
                <w:rFonts w:ascii="Arial" w:hAnsi="Arial" w:cs="Arial"/>
                <w:sz w:val="24"/>
                <w:szCs w:val="24"/>
              </w:rPr>
            </w:pPr>
            <w:r>
              <w:rPr>
                <w:rFonts w:ascii="Arial" w:hAnsi="Arial" w:cs="Arial"/>
                <w:sz w:val="24"/>
                <w:szCs w:val="24"/>
              </w:rPr>
              <w:t>To encourage creative recruitment (e.g. open days, use of social media)</w:t>
            </w:r>
          </w:p>
          <w:p w:rsidR="007C27CF" w:rsidRDefault="007C27CF" w:rsidP="00A8312E">
            <w:pPr>
              <w:pStyle w:val="ListParagraph"/>
              <w:numPr>
                <w:ilvl w:val="0"/>
                <w:numId w:val="32"/>
              </w:numPr>
              <w:rPr>
                <w:rFonts w:ascii="Arial" w:hAnsi="Arial" w:cs="Arial"/>
                <w:sz w:val="24"/>
                <w:szCs w:val="24"/>
              </w:rPr>
            </w:pPr>
            <w:r>
              <w:rPr>
                <w:rFonts w:ascii="Arial" w:hAnsi="Arial" w:cs="Arial"/>
                <w:sz w:val="24"/>
                <w:szCs w:val="24"/>
              </w:rPr>
              <w:t>Encourage links with schools e.g. services adopt a school</w:t>
            </w:r>
          </w:p>
          <w:p w:rsidR="000874AB" w:rsidRPr="00A8312E" w:rsidRDefault="000874AB" w:rsidP="00A8312E">
            <w:pPr>
              <w:pStyle w:val="ListParagraph"/>
              <w:numPr>
                <w:ilvl w:val="0"/>
                <w:numId w:val="32"/>
              </w:numPr>
              <w:rPr>
                <w:rFonts w:ascii="Arial" w:hAnsi="Arial" w:cs="Arial"/>
                <w:sz w:val="24"/>
                <w:szCs w:val="24"/>
              </w:rPr>
            </w:pPr>
            <w:r>
              <w:rPr>
                <w:rFonts w:ascii="Arial" w:hAnsi="Arial" w:cs="Arial"/>
                <w:sz w:val="24"/>
                <w:szCs w:val="24"/>
              </w:rPr>
              <w:t>To explore discounts or wavers for staff conducting home visits</w:t>
            </w:r>
          </w:p>
        </w:tc>
      </w:tr>
    </w:tbl>
    <w:p w:rsidR="000B60D1" w:rsidRDefault="000B60D1" w:rsidP="006B3002">
      <w:pPr>
        <w:rPr>
          <w:rFonts w:ascii="Arial" w:hAnsi="Arial" w:cs="Arial"/>
          <w:b/>
          <w:sz w:val="24"/>
          <w:szCs w:val="24"/>
        </w:rPr>
      </w:pPr>
    </w:p>
    <w:p w:rsidR="008E497D" w:rsidRPr="00225383" w:rsidRDefault="008E497D" w:rsidP="006B3002">
      <w:pPr>
        <w:rPr>
          <w:rFonts w:ascii="Arial" w:hAnsi="Arial" w:cs="Arial"/>
          <w:b/>
          <w:sz w:val="24"/>
          <w:szCs w:val="24"/>
        </w:rPr>
      </w:pPr>
      <w:r w:rsidRPr="00225383">
        <w:rPr>
          <w:rFonts w:ascii="Arial" w:hAnsi="Arial" w:cs="Arial"/>
          <w:b/>
          <w:sz w:val="24"/>
          <w:szCs w:val="24"/>
        </w:rPr>
        <w:t>Training and Continuing Professional Development</w:t>
      </w:r>
    </w:p>
    <w:tbl>
      <w:tblPr>
        <w:tblStyle w:val="TableGrid"/>
        <w:tblW w:w="0" w:type="auto"/>
        <w:tblLook w:val="04A0" w:firstRow="1" w:lastRow="0" w:firstColumn="1" w:lastColumn="0" w:noHBand="0" w:noVBand="1"/>
      </w:tblPr>
      <w:tblGrid>
        <w:gridCol w:w="9242"/>
      </w:tblGrid>
      <w:tr w:rsidR="00232DFC" w:rsidTr="00225383">
        <w:tc>
          <w:tcPr>
            <w:tcW w:w="9242" w:type="dxa"/>
            <w:shd w:val="clear" w:color="auto" w:fill="D9D9D9" w:themeFill="background1" w:themeFillShade="D9"/>
          </w:tcPr>
          <w:p w:rsidR="00232DFC" w:rsidRPr="00232DFC" w:rsidRDefault="00232DFC" w:rsidP="006B3002">
            <w:pPr>
              <w:rPr>
                <w:rFonts w:ascii="Arial" w:hAnsi="Arial" w:cs="Arial"/>
                <w:sz w:val="24"/>
                <w:szCs w:val="24"/>
              </w:rPr>
            </w:pPr>
            <w:r>
              <w:rPr>
                <w:rFonts w:ascii="Arial" w:hAnsi="Arial" w:cs="Arial"/>
                <w:b/>
                <w:sz w:val="24"/>
                <w:szCs w:val="24"/>
              </w:rPr>
              <w:t xml:space="preserve">Strategic aim: </w:t>
            </w:r>
            <w:r>
              <w:rPr>
                <w:rFonts w:ascii="Arial" w:hAnsi="Arial" w:cs="Arial"/>
                <w:sz w:val="24"/>
                <w:szCs w:val="24"/>
              </w:rPr>
              <w:t>To ensure that the adult social care workforce has the right capabilities and qualifications to meet statutory and regulatory requirements and local needs.</w:t>
            </w:r>
          </w:p>
        </w:tc>
      </w:tr>
      <w:tr w:rsidR="00F37799" w:rsidTr="00232DFC">
        <w:tc>
          <w:tcPr>
            <w:tcW w:w="9242" w:type="dxa"/>
          </w:tcPr>
          <w:p w:rsidR="00F37799" w:rsidRDefault="00F37799" w:rsidP="006B3002">
            <w:pPr>
              <w:rPr>
                <w:rFonts w:ascii="Arial" w:hAnsi="Arial" w:cs="Arial"/>
                <w:b/>
                <w:sz w:val="24"/>
                <w:szCs w:val="24"/>
              </w:rPr>
            </w:pPr>
            <w:r w:rsidRPr="00F37799">
              <w:rPr>
                <w:rFonts w:ascii="Arial" w:hAnsi="Arial" w:cs="Arial"/>
                <w:b/>
                <w:sz w:val="24"/>
                <w:szCs w:val="24"/>
              </w:rPr>
              <w:t xml:space="preserve">High level outcomes: </w:t>
            </w:r>
          </w:p>
          <w:p w:rsidR="00E905C0" w:rsidRPr="00E905C0" w:rsidRDefault="00E905C0" w:rsidP="00BA21A9">
            <w:pPr>
              <w:pStyle w:val="ListParagraph"/>
              <w:numPr>
                <w:ilvl w:val="0"/>
                <w:numId w:val="37"/>
              </w:numPr>
              <w:rPr>
                <w:rFonts w:ascii="Arial" w:hAnsi="Arial" w:cs="Arial"/>
                <w:sz w:val="24"/>
                <w:szCs w:val="24"/>
              </w:rPr>
            </w:pPr>
            <w:r w:rsidRPr="00E905C0">
              <w:rPr>
                <w:rFonts w:ascii="Arial" w:hAnsi="Arial" w:cs="Arial"/>
                <w:sz w:val="24"/>
                <w:szCs w:val="24"/>
              </w:rPr>
              <w:t xml:space="preserve">A workforce </w:t>
            </w:r>
            <w:r>
              <w:rPr>
                <w:rFonts w:ascii="Arial" w:hAnsi="Arial" w:cs="Arial"/>
                <w:sz w:val="24"/>
                <w:szCs w:val="24"/>
              </w:rPr>
              <w:t>compliant with statutory</w:t>
            </w:r>
            <w:r w:rsidR="00BA21A9">
              <w:rPr>
                <w:rFonts w:ascii="Arial" w:hAnsi="Arial" w:cs="Arial"/>
                <w:sz w:val="24"/>
                <w:szCs w:val="24"/>
              </w:rPr>
              <w:t>/</w:t>
            </w:r>
            <w:r>
              <w:rPr>
                <w:rFonts w:ascii="Arial" w:hAnsi="Arial" w:cs="Arial"/>
                <w:sz w:val="24"/>
                <w:szCs w:val="24"/>
              </w:rPr>
              <w:t>regulatory training and qualification requirements</w:t>
            </w:r>
          </w:p>
        </w:tc>
      </w:tr>
      <w:tr w:rsidR="001748FB" w:rsidTr="00232DFC">
        <w:tc>
          <w:tcPr>
            <w:tcW w:w="9242" w:type="dxa"/>
          </w:tcPr>
          <w:p w:rsidR="001748FB" w:rsidRDefault="001748FB" w:rsidP="006B3002">
            <w:pPr>
              <w:rPr>
                <w:rFonts w:ascii="Arial" w:hAnsi="Arial" w:cs="Arial"/>
                <w:b/>
                <w:sz w:val="24"/>
                <w:szCs w:val="24"/>
              </w:rPr>
            </w:pPr>
            <w:r>
              <w:rPr>
                <w:rFonts w:ascii="Arial" w:hAnsi="Arial" w:cs="Arial"/>
                <w:b/>
                <w:sz w:val="24"/>
                <w:szCs w:val="24"/>
              </w:rPr>
              <w:t>Actions:</w:t>
            </w:r>
          </w:p>
          <w:p w:rsidR="001748FB" w:rsidRDefault="00E905C0" w:rsidP="00E905C0">
            <w:pPr>
              <w:pStyle w:val="ListParagraph"/>
              <w:numPr>
                <w:ilvl w:val="0"/>
                <w:numId w:val="36"/>
              </w:numPr>
              <w:rPr>
                <w:rFonts w:ascii="Arial" w:hAnsi="Arial" w:cs="Arial"/>
                <w:sz w:val="24"/>
                <w:szCs w:val="24"/>
              </w:rPr>
            </w:pPr>
            <w:r>
              <w:rPr>
                <w:rFonts w:ascii="Arial" w:hAnsi="Arial" w:cs="Arial"/>
                <w:sz w:val="24"/>
                <w:szCs w:val="24"/>
              </w:rPr>
              <w:t>Support to the managers in the sector to help them understand their responsibilities in ensuring their service has suitably trained and qualified staff</w:t>
            </w:r>
          </w:p>
          <w:p w:rsidR="00E905C0" w:rsidRDefault="00E905C0" w:rsidP="00E905C0">
            <w:pPr>
              <w:pStyle w:val="ListParagraph"/>
              <w:numPr>
                <w:ilvl w:val="0"/>
                <w:numId w:val="36"/>
              </w:numPr>
              <w:rPr>
                <w:rFonts w:ascii="Arial" w:hAnsi="Arial" w:cs="Arial"/>
                <w:sz w:val="24"/>
                <w:szCs w:val="24"/>
              </w:rPr>
            </w:pPr>
            <w:r w:rsidRPr="00FE52A3">
              <w:rPr>
                <w:rFonts w:ascii="Arial" w:hAnsi="Arial" w:cs="Arial"/>
                <w:sz w:val="24"/>
                <w:szCs w:val="24"/>
              </w:rPr>
              <w:t>Engagement with Skills for Care, Department of Health, Department for Education</w:t>
            </w:r>
            <w:r>
              <w:rPr>
                <w:rFonts w:ascii="Arial" w:hAnsi="Arial" w:cs="Arial"/>
                <w:sz w:val="24"/>
                <w:szCs w:val="24"/>
              </w:rPr>
              <w:t xml:space="preserve"> and British Association of Social Work</w:t>
            </w:r>
          </w:p>
          <w:p w:rsidR="00E905C0" w:rsidRDefault="00E905C0" w:rsidP="00E905C0">
            <w:pPr>
              <w:pStyle w:val="ListParagraph"/>
              <w:numPr>
                <w:ilvl w:val="0"/>
                <w:numId w:val="36"/>
              </w:numPr>
              <w:rPr>
                <w:rFonts w:ascii="Arial" w:hAnsi="Arial" w:cs="Arial"/>
                <w:sz w:val="24"/>
                <w:szCs w:val="24"/>
              </w:rPr>
            </w:pPr>
            <w:r>
              <w:rPr>
                <w:rFonts w:ascii="Arial" w:hAnsi="Arial" w:cs="Arial"/>
                <w:sz w:val="24"/>
                <w:szCs w:val="24"/>
              </w:rPr>
              <w:t>Define organisational/</w:t>
            </w:r>
            <w:r w:rsidR="00225383">
              <w:rPr>
                <w:rFonts w:ascii="Arial" w:hAnsi="Arial" w:cs="Arial"/>
                <w:sz w:val="24"/>
                <w:szCs w:val="24"/>
              </w:rPr>
              <w:t xml:space="preserve">contractual </w:t>
            </w:r>
            <w:r>
              <w:rPr>
                <w:rFonts w:ascii="Arial" w:hAnsi="Arial" w:cs="Arial"/>
                <w:sz w:val="24"/>
                <w:szCs w:val="24"/>
              </w:rPr>
              <w:t xml:space="preserve">training and </w:t>
            </w:r>
            <w:r w:rsidR="00241AF5">
              <w:rPr>
                <w:rFonts w:ascii="Arial" w:hAnsi="Arial" w:cs="Arial"/>
                <w:sz w:val="24"/>
                <w:szCs w:val="24"/>
              </w:rPr>
              <w:t>qualification</w:t>
            </w:r>
            <w:r>
              <w:rPr>
                <w:rFonts w:ascii="Arial" w:hAnsi="Arial" w:cs="Arial"/>
                <w:sz w:val="24"/>
                <w:szCs w:val="24"/>
              </w:rPr>
              <w:t xml:space="preserve"> requirements</w:t>
            </w:r>
          </w:p>
          <w:p w:rsidR="00E905C0" w:rsidRDefault="00E905C0" w:rsidP="00E905C0">
            <w:pPr>
              <w:pStyle w:val="ListParagraph"/>
              <w:numPr>
                <w:ilvl w:val="0"/>
                <w:numId w:val="36"/>
              </w:numPr>
              <w:rPr>
                <w:rFonts w:ascii="Arial" w:hAnsi="Arial" w:cs="Arial"/>
                <w:sz w:val="24"/>
                <w:szCs w:val="24"/>
              </w:rPr>
            </w:pPr>
            <w:r>
              <w:rPr>
                <w:rFonts w:ascii="Arial" w:hAnsi="Arial" w:cs="Arial"/>
                <w:sz w:val="24"/>
                <w:szCs w:val="24"/>
              </w:rPr>
              <w:t>Support the sector through the provision of training, development and qualification opportunities</w:t>
            </w:r>
          </w:p>
          <w:p w:rsidR="00E905C0" w:rsidRPr="00E905C0" w:rsidRDefault="00E905C0" w:rsidP="00E905C0">
            <w:pPr>
              <w:pStyle w:val="ListParagraph"/>
              <w:numPr>
                <w:ilvl w:val="0"/>
                <w:numId w:val="36"/>
              </w:numPr>
              <w:rPr>
                <w:rFonts w:ascii="Arial" w:hAnsi="Arial" w:cs="Arial"/>
                <w:sz w:val="24"/>
                <w:szCs w:val="24"/>
              </w:rPr>
            </w:pPr>
            <w:r>
              <w:rPr>
                <w:rFonts w:ascii="Arial" w:hAnsi="Arial" w:cs="Arial"/>
                <w:sz w:val="24"/>
                <w:szCs w:val="24"/>
              </w:rPr>
              <w:t xml:space="preserve">To work with relevant occupational standards, (e.g. </w:t>
            </w:r>
            <w:r w:rsidR="00225383">
              <w:rPr>
                <w:rFonts w:ascii="Arial" w:hAnsi="Arial" w:cs="Arial"/>
                <w:sz w:val="24"/>
                <w:szCs w:val="24"/>
              </w:rPr>
              <w:t xml:space="preserve">Care Certificate, </w:t>
            </w:r>
            <w:r>
              <w:rPr>
                <w:rFonts w:ascii="Arial" w:hAnsi="Arial" w:cs="Arial"/>
                <w:sz w:val="24"/>
                <w:szCs w:val="24"/>
              </w:rPr>
              <w:t>national occupational standards, professional capabilities framework and social work knowledge and skills statements).</w:t>
            </w:r>
          </w:p>
        </w:tc>
      </w:tr>
    </w:tbl>
    <w:p w:rsidR="00225383" w:rsidRDefault="00225383" w:rsidP="009B4CB2">
      <w:pPr>
        <w:rPr>
          <w:rFonts w:ascii="Arial" w:hAnsi="Arial" w:cs="Arial"/>
          <w:b/>
          <w:sz w:val="24"/>
          <w:szCs w:val="24"/>
        </w:rPr>
      </w:pPr>
    </w:p>
    <w:p w:rsidR="000B60D1" w:rsidRDefault="000B60D1" w:rsidP="009B4CB2">
      <w:pPr>
        <w:rPr>
          <w:rFonts w:ascii="Arial" w:hAnsi="Arial" w:cs="Arial"/>
          <w:b/>
          <w:sz w:val="24"/>
          <w:szCs w:val="24"/>
        </w:rPr>
      </w:pPr>
    </w:p>
    <w:p w:rsidR="009B4CB2" w:rsidRPr="00225383" w:rsidRDefault="005E4983" w:rsidP="009B4CB2">
      <w:pPr>
        <w:rPr>
          <w:rFonts w:ascii="Arial" w:hAnsi="Arial" w:cs="Arial"/>
          <w:b/>
          <w:sz w:val="24"/>
          <w:szCs w:val="24"/>
        </w:rPr>
      </w:pPr>
      <w:r w:rsidRPr="00225383">
        <w:rPr>
          <w:rFonts w:ascii="Arial" w:hAnsi="Arial" w:cs="Arial"/>
          <w:b/>
          <w:sz w:val="24"/>
          <w:szCs w:val="24"/>
        </w:rPr>
        <w:t xml:space="preserve">Culture </w:t>
      </w:r>
    </w:p>
    <w:tbl>
      <w:tblPr>
        <w:tblStyle w:val="TableGrid"/>
        <w:tblW w:w="0" w:type="auto"/>
        <w:tblLook w:val="04A0" w:firstRow="1" w:lastRow="0" w:firstColumn="1" w:lastColumn="0" w:noHBand="0" w:noVBand="1"/>
      </w:tblPr>
      <w:tblGrid>
        <w:gridCol w:w="9242"/>
      </w:tblGrid>
      <w:tr w:rsidR="00D86A3F" w:rsidTr="00225383">
        <w:tc>
          <w:tcPr>
            <w:tcW w:w="9242" w:type="dxa"/>
            <w:shd w:val="clear" w:color="auto" w:fill="D9D9D9" w:themeFill="background1" w:themeFillShade="D9"/>
          </w:tcPr>
          <w:p w:rsidR="00D86A3F" w:rsidRPr="00232DFC" w:rsidRDefault="00D86A3F" w:rsidP="00D86A3F">
            <w:pPr>
              <w:rPr>
                <w:rFonts w:ascii="Arial" w:hAnsi="Arial" w:cs="Arial"/>
                <w:sz w:val="24"/>
                <w:szCs w:val="24"/>
              </w:rPr>
            </w:pPr>
            <w:r>
              <w:rPr>
                <w:rFonts w:ascii="Arial" w:hAnsi="Arial" w:cs="Arial"/>
                <w:b/>
                <w:sz w:val="24"/>
                <w:szCs w:val="24"/>
              </w:rPr>
              <w:t xml:space="preserve">Strategic aim: </w:t>
            </w:r>
            <w:r>
              <w:rPr>
                <w:rFonts w:ascii="Arial" w:hAnsi="Arial" w:cs="Arial"/>
                <w:sz w:val="24"/>
                <w:szCs w:val="24"/>
              </w:rPr>
              <w:t xml:space="preserve">To support positive, person centred cultures within adult social care </w:t>
            </w:r>
            <w:r w:rsidR="003B2F96">
              <w:rPr>
                <w:rFonts w:ascii="Arial" w:hAnsi="Arial" w:cs="Arial"/>
                <w:sz w:val="24"/>
                <w:szCs w:val="24"/>
              </w:rPr>
              <w:t xml:space="preserve">that are safe, </w:t>
            </w:r>
            <w:r w:rsidR="00241AF5">
              <w:rPr>
                <w:rFonts w:ascii="Arial" w:hAnsi="Arial" w:cs="Arial"/>
                <w:sz w:val="24"/>
                <w:szCs w:val="24"/>
              </w:rPr>
              <w:t>effective,</w:t>
            </w:r>
            <w:r w:rsidR="00A8312E">
              <w:rPr>
                <w:rFonts w:ascii="Arial" w:hAnsi="Arial" w:cs="Arial"/>
                <w:sz w:val="24"/>
                <w:szCs w:val="24"/>
              </w:rPr>
              <w:t xml:space="preserve"> caring, responsive and well-led.</w:t>
            </w:r>
          </w:p>
        </w:tc>
      </w:tr>
      <w:tr w:rsidR="00D86A3F" w:rsidTr="00D86A3F">
        <w:tc>
          <w:tcPr>
            <w:tcW w:w="9242" w:type="dxa"/>
          </w:tcPr>
          <w:p w:rsidR="00D86A3F" w:rsidRDefault="00D86A3F" w:rsidP="00D86A3F">
            <w:pPr>
              <w:rPr>
                <w:rFonts w:ascii="Arial" w:hAnsi="Arial" w:cs="Arial"/>
                <w:b/>
                <w:sz w:val="24"/>
                <w:szCs w:val="24"/>
              </w:rPr>
            </w:pPr>
            <w:r w:rsidRPr="00F37799">
              <w:rPr>
                <w:rFonts w:ascii="Arial" w:hAnsi="Arial" w:cs="Arial"/>
                <w:b/>
                <w:sz w:val="24"/>
                <w:szCs w:val="24"/>
              </w:rPr>
              <w:t xml:space="preserve">High level outcomes: </w:t>
            </w:r>
          </w:p>
          <w:p w:rsidR="00D86A3F" w:rsidRDefault="00E905C0" w:rsidP="00D86A3F">
            <w:pPr>
              <w:pStyle w:val="ListParagraph"/>
              <w:numPr>
                <w:ilvl w:val="0"/>
                <w:numId w:val="28"/>
              </w:numPr>
              <w:rPr>
                <w:rFonts w:ascii="Arial" w:hAnsi="Arial" w:cs="Arial"/>
                <w:sz w:val="24"/>
                <w:szCs w:val="24"/>
              </w:rPr>
            </w:pPr>
            <w:r>
              <w:rPr>
                <w:rFonts w:ascii="Arial" w:hAnsi="Arial" w:cs="Arial"/>
                <w:sz w:val="24"/>
                <w:szCs w:val="24"/>
              </w:rPr>
              <w:t>CQC ratings and inspections show good quality services</w:t>
            </w:r>
          </w:p>
          <w:p w:rsidR="00E905C0" w:rsidRDefault="00FD7260" w:rsidP="00D86A3F">
            <w:pPr>
              <w:pStyle w:val="ListParagraph"/>
              <w:numPr>
                <w:ilvl w:val="0"/>
                <w:numId w:val="28"/>
              </w:numPr>
              <w:rPr>
                <w:rFonts w:ascii="Arial" w:hAnsi="Arial" w:cs="Arial"/>
                <w:sz w:val="24"/>
                <w:szCs w:val="24"/>
              </w:rPr>
            </w:pPr>
            <w:r>
              <w:rPr>
                <w:rFonts w:ascii="Arial" w:hAnsi="Arial" w:cs="Arial"/>
                <w:sz w:val="24"/>
                <w:szCs w:val="24"/>
              </w:rPr>
              <w:t xml:space="preserve">Workforce and others see social care as a valuable service </w:t>
            </w:r>
          </w:p>
          <w:p w:rsidR="00FD7260" w:rsidRPr="006632B9" w:rsidRDefault="00FD7260" w:rsidP="00D86A3F">
            <w:pPr>
              <w:pStyle w:val="ListParagraph"/>
              <w:numPr>
                <w:ilvl w:val="0"/>
                <w:numId w:val="28"/>
              </w:numPr>
              <w:rPr>
                <w:rFonts w:ascii="Arial" w:hAnsi="Arial" w:cs="Arial"/>
                <w:sz w:val="24"/>
                <w:szCs w:val="24"/>
              </w:rPr>
            </w:pPr>
            <w:r>
              <w:rPr>
                <w:rFonts w:ascii="Arial" w:hAnsi="Arial" w:cs="Arial"/>
                <w:sz w:val="24"/>
                <w:szCs w:val="24"/>
              </w:rPr>
              <w:t>Wider workforce see social care as a valid career</w:t>
            </w:r>
          </w:p>
        </w:tc>
      </w:tr>
      <w:tr w:rsidR="00D86A3F" w:rsidTr="00D86A3F">
        <w:tc>
          <w:tcPr>
            <w:tcW w:w="9242" w:type="dxa"/>
          </w:tcPr>
          <w:p w:rsidR="00A8312E" w:rsidRDefault="00A8312E" w:rsidP="00A8312E">
            <w:pPr>
              <w:rPr>
                <w:rFonts w:ascii="Arial" w:hAnsi="Arial" w:cs="Arial"/>
                <w:b/>
                <w:sz w:val="24"/>
                <w:szCs w:val="24"/>
              </w:rPr>
            </w:pPr>
            <w:r>
              <w:rPr>
                <w:rFonts w:ascii="Arial" w:hAnsi="Arial" w:cs="Arial"/>
                <w:b/>
                <w:sz w:val="24"/>
                <w:szCs w:val="24"/>
              </w:rPr>
              <w:t>Actions:</w:t>
            </w:r>
          </w:p>
          <w:p w:rsidR="00A8312E" w:rsidRPr="00A8312E" w:rsidRDefault="00A8312E" w:rsidP="00A8312E">
            <w:pPr>
              <w:pStyle w:val="ListParagraph"/>
              <w:numPr>
                <w:ilvl w:val="0"/>
                <w:numId w:val="30"/>
              </w:numPr>
              <w:rPr>
                <w:rFonts w:ascii="Arial" w:hAnsi="Arial" w:cs="Arial"/>
                <w:sz w:val="24"/>
                <w:szCs w:val="24"/>
              </w:rPr>
            </w:pPr>
            <w:r w:rsidRPr="00A8312E">
              <w:rPr>
                <w:rFonts w:ascii="Arial" w:hAnsi="Arial" w:cs="Arial"/>
                <w:sz w:val="24"/>
                <w:szCs w:val="24"/>
              </w:rPr>
              <w:t>Support the uptake of the social care commitment</w:t>
            </w:r>
            <w:r w:rsidRPr="00A8312E">
              <w:rPr>
                <w:rFonts w:ascii="Arial" w:hAnsi="Arial" w:cs="Arial"/>
                <w:sz w:val="24"/>
                <w:szCs w:val="24"/>
                <w:vertAlign w:val="superscript"/>
              </w:rPr>
              <w:t>7</w:t>
            </w:r>
          </w:p>
          <w:p w:rsidR="00A8312E" w:rsidRDefault="00A8312E" w:rsidP="00A8312E">
            <w:pPr>
              <w:pStyle w:val="ListParagraph"/>
              <w:numPr>
                <w:ilvl w:val="0"/>
                <w:numId w:val="30"/>
              </w:numPr>
              <w:rPr>
                <w:rFonts w:ascii="Arial" w:hAnsi="Arial" w:cs="Arial"/>
                <w:sz w:val="24"/>
                <w:szCs w:val="24"/>
              </w:rPr>
            </w:pPr>
            <w:r>
              <w:rPr>
                <w:rFonts w:ascii="Arial" w:hAnsi="Arial" w:cs="Arial"/>
                <w:sz w:val="24"/>
                <w:szCs w:val="24"/>
              </w:rPr>
              <w:t>Encourage and support the uptake of the dignity challenge</w:t>
            </w:r>
          </w:p>
          <w:p w:rsidR="00A8312E" w:rsidRDefault="003B2F96" w:rsidP="00A8312E">
            <w:pPr>
              <w:pStyle w:val="ListParagraph"/>
              <w:numPr>
                <w:ilvl w:val="0"/>
                <w:numId w:val="30"/>
              </w:numPr>
              <w:rPr>
                <w:rFonts w:ascii="Arial" w:hAnsi="Arial" w:cs="Arial"/>
                <w:sz w:val="24"/>
                <w:szCs w:val="24"/>
              </w:rPr>
            </w:pPr>
            <w:r>
              <w:rPr>
                <w:rFonts w:ascii="Arial" w:hAnsi="Arial" w:cs="Arial"/>
                <w:sz w:val="24"/>
                <w:szCs w:val="24"/>
              </w:rPr>
              <w:t xml:space="preserve">To </w:t>
            </w:r>
            <w:r w:rsidR="001748FB">
              <w:rPr>
                <w:rFonts w:ascii="Arial" w:hAnsi="Arial" w:cs="Arial"/>
                <w:sz w:val="24"/>
                <w:szCs w:val="24"/>
              </w:rPr>
              <w:t xml:space="preserve">promote positive messages of the social worth and job satisfaction to be </w:t>
            </w:r>
            <w:r w:rsidR="00FD7260">
              <w:rPr>
                <w:rFonts w:ascii="Arial" w:hAnsi="Arial" w:cs="Arial"/>
                <w:sz w:val="24"/>
                <w:szCs w:val="24"/>
              </w:rPr>
              <w:t>gained from a</w:t>
            </w:r>
            <w:r w:rsidR="001748FB">
              <w:rPr>
                <w:rFonts w:ascii="Arial" w:hAnsi="Arial" w:cs="Arial"/>
                <w:sz w:val="24"/>
                <w:szCs w:val="24"/>
              </w:rPr>
              <w:t xml:space="preserve"> career in adult social care.</w:t>
            </w:r>
          </w:p>
          <w:p w:rsidR="007C27CF" w:rsidRDefault="007C27CF" w:rsidP="00A8312E">
            <w:pPr>
              <w:pStyle w:val="ListParagraph"/>
              <w:numPr>
                <w:ilvl w:val="0"/>
                <w:numId w:val="30"/>
              </w:numPr>
              <w:rPr>
                <w:rFonts w:ascii="Arial" w:hAnsi="Arial" w:cs="Arial"/>
                <w:sz w:val="24"/>
                <w:szCs w:val="24"/>
              </w:rPr>
            </w:pPr>
            <w:r>
              <w:rPr>
                <w:rFonts w:ascii="Arial" w:hAnsi="Arial" w:cs="Arial"/>
                <w:sz w:val="24"/>
                <w:szCs w:val="24"/>
              </w:rPr>
              <w:t>Use the forthcoming media campaign (due November 2015) from Skills for Care to promote careers in social care in Brighton &amp; Hove</w:t>
            </w:r>
          </w:p>
          <w:p w:rsidR="00A8312E" w:rsidRPr="00A8312E" w:rsidRDefault="007C27CF" w:rsidP="00225383">
            <w:pPr>
              <w:pStyle w:val="ListParagraph"/>
              <w:numPr>
                <w:ilvl w:val="0"/>
                <w:numId w:val="30"/>
              </w:numPr>
              <w:rPr>
                <w:rFonts w:ascii="Arial" w:hAnsi="Arial" w:cs="Arial"/>
                <w:sz w:val="24"/>
                <w:szCs w:val="24"/>
                <w:vertAlign w:val="superscript"/>
              </w:rPr>
            </w:pPr>
            <w:r>
              <w:rPr>
                <w:rFonts w:ascii="Arial" w:hAnsi="Arial" w:cs="Arial"/>
                <w:sz w:val="24"/>
                <w:szCs w:val="24"/>
              </w:rPr>
              <w:t xml:space="preserve">Contribute to the Sussex wide hub in </w:t>
            </w:r>
            <w:r w:rsidR="00241AF5">
              <w:rPr>
                <w:rFonts w:ascii="Arial" w:hAnsi="Arial" w:cs="Arial"/>
                <w:sz w:val="24"/>
                <w:szCs w:val="24"/>
              </w:rPr>
              <w:t>development from</w:t>
            </w:r>
            <w:r>
              <w:rPr>
                <w:rFonts w:ascii="Arial" w:hAnsi="Arial" w:cs="Arial"/>
                <w:sz w:val="24"/>
                <w:szCs w:val="24"/>
              </w:rPr>
              <w:t xml:space="preserve"> Health Education Kent, Surrey and Sussex.</w:t>
            </w:r>
          </w:p>
        </w:tc>
      </w:tr>
    </w:tbl>
    <w:p w:rsidR="00D86A3F" w:rsidRDefault="00D86A3F" w:rsidP="009B4CB2">
      <w:pPr>
        <w:rPr>
          <w:rFonts w:ascii="Georgia" w:hAnsi="Georgia" w:cs="Arial"/>
          <w:b/>
          <w:sz w:val="24"/>
          <w:szCs w:val="24"/>
        </w:rPr>
      </w:pPr>
    </w:p>
    <w:p w:rsidR="000B2BE4" w:rsidRPr="00225383" w:rsidRDefault="004F5F53">
      <w:pPr>
        <w:rPr>
          <w:rFonts w:ascii="Arial" w:hAnsi="Arial" w:cs="Arial"/>
          <w:b/>
          <w:sz w:val="28"/>
          <w:szCs w:val="28"/>
        </w:rPr>
      </w:pPr>
      <w:r w:rsidRPr="00225383">
        <w:rPr>
          <w:rFonts w:ascii="Arial" w:hAnsi="Arial" w:cs="Arial"/>
          <w:b/>
          <w:sz w:val="28"/>
          <w:szCs w:val="28"/>
        </w:rPr>
        <w:t>References</w:t>
      </w:r>
    </w:p>
    <w:p w:rsidR="00205F75" w:rsidRPr="006C303D" w:rsidRDefault="00091155" w:rsidP="00205F75">
      <w:pPr>
        <w:autoSpaceDE w:val="0"/>
        <w:autoSpaceDN w:val="0"/>
        <w:adjustRightInd w:val="0"/>
        <w:spacing w:after="0" w:line="240" w:lineRule="auto"/>
        <w:rPr>
          <w:rFonts w:ascii="Arial" w:hAnsi="Arial" w:cs="Arial"/>
          <w:color w:val="0000FF"/>
          <w:sz w:val="24"/>
          <w:szCs w:val="24"/>
        </w:rPr>
      </w:pPr>
      <w:r w:rsidRPr="006C303D">
        <w:rPr>
          <w:rFonts w:ascii="Arial" w:hAnsi="Arial" w:cs="Arial"/>
          <w:sz w:val="24"/>
          <w:szCs w:val="24"/>
        </w:rPr>
        <w:t xml:space="preserve">1. Skills for Care; </w:t>
      </w:r>
      <w:r w:rsidR="00205F75" w:rsidRPr="006C303D">
        <w:rPr>
          <w:rFonts w:ascii="Arial" w:hAnsi="Arial" w:cs="Arial"/>
          <w:sz w:val="24"/>
          <w:szCs w:val="24"/>
        </w:rPr>
        <w:t xml:space="preserve"> The size and structure of the adult social care sector and workforce in England: </w:t>
      </w:r>
      <w:hyperlink r:id="rId11" w:history="1">
        <w:r w:rsidR="00205F75" w:rsidRPr="006C303D">
          <w:rPr>
            <w:rStyle w:val="Hyperlink"/>
            <w:rFonts w:ascii="Arial" w:hAnsi="Arial" w:cs="Arial"/>
            <w:sz w:val="24"/>
            <w:szCs w:val="24"/>
          </w:rPr>
          <w:t>http://www.skillsforcare.org.uk/NMDS-SC-intelligence-research-and-innovation/NMDS-SC/Workforce-intelligence-publications/The-size-and-structure-of-the-adult-social-care-sector-and-workforce-in-England.aspx?utm_medium=email&amp;utm_source=Skills+for+Care&amp;utm_campaign=4825353_Enews+09102014&amp;utm_content=newstwo09102014en&amp;dm_i=1E83,2VF9L,DM5X1Y,AEMGO,1</w:t>
        </w:r>
      </w:hyperlink>
      <w:r w:rsidR="00205F75" w:rsidRPr="006C303D">
        <w:rPr>
          <w:rFonts w:ascii="Arial" w:hAnsi="Arial" w:cs="Arial"/>
          <w:sz w:val="24"/>
          <w:szCs w:val="24"/>
        </w:rPr>
        <w:t xml:space="preserve"> </w:t>
      </w:r>
      <w:r w:rsidRPr="006C303D">
        <w:rPr>
          <w:rFonts w:ascii="Arial" w:hAnsi="Arial" w:cs="Arial"/>
          <w:sz w:val="24"/>
          <w:szCs w:val="24"/>
        </w:rPr>
        <w:t>(accessed 16/4/15)</w:t>
      </w:r>
    </w:p>
    <w:p w:rsidR="00225383" w:rsidRDefault="00225383" w:rsidP="00205F75">
      <w:pPr>
        <w:rPr>
          <w:rFonts w:ascii="Arial" w:hAnsi="Arial" w:cs="Arial"/>
          <w:sz w:val="24"/>
          <w:szCs w:val="24"/>
          <w:lang w:val="en"/>
        </w:rPr>
      </w:pPr>
    </w:p>
    <w:p w:rsidR="00205F75" w:rsidRPr="006C303D" w:rsidRDefault="00091155" w:rsidP="00205F75">
      <w:pPr>
        <w:rPr>
          <w:rFonts w:ascii="Arial" w:hAnsi="Arial" w:cs="Arial"/>
          <w:sz w:val="24"/>
          <w:szCs w:val="24"/>
          <w:lang w:val="en"/>
        </w:rPr>
      </w:pPr>
      <w:r w:rsidRPr="006C303D">
        <w:rPr>
          <w:rFonts w:ascii="Arial" w:hAnsi="Arial" w:cs="Arial"/>
          <w:sz w:val="24"/>
          <w:szCs w:val="24"/>
          <w:lang w:val="en"/>
        </w:rPr>
        <w:t xml:space="preserve">2. Alzheimers Society; </w:t>
      </w:r>
      <w:r w:rsidR="00205F75" w:rsidRPr="006C303D">
        <w:rPr>
          <w:rFonts w:ascii="Arial" w:hAnsi="Arial" w:cs="Arial"/>
          <w:sz w:val="24"/>
          <w:szCs w:val="24"/>
          <w:lang w:val="en"/>
        </w:rPr>
        <w:t xml:space="preserve">Dementia is the leading cause of death in women, according to ONS; </w:t>
      </w:r>
      <w:hyperlink r:id="rId12" w:history="1">
        <w:r w:rsidR="00205F75" w:rsidRPr="006C303D">
          <w:rPr>
            <w:rStyle w:val="Hyperlink"/>
            <w:rFonts w:ascii="Arial" w:hAnsi="Arial" w:cs="Arial"/>
            <w:sz w:val="24"/>
            <w:szCs w:val="24"/>
            <w:lang w:val="en"/>
          </w:rPr>
          <w:t>http://www.alzheimers.org.uk/site/scripts/news_article.php?newsID=2220</w:t>
        </w:r>
      </w:hyperlink>
      <w:r w:rsidR="00205F75" w:rsidRPr="006C303D">
        <w:rPr>
          <w:rFonts w:ascii="Arial" w:hAnsi="Arial" w:cs="Arial"/>
          <w:sz w:val="24"/>
          <w:szCs w:val="24"/>
          <w:lang w:val="en"/>
        </w:rPr>
        <w:t xml:space="preserve"> </w:t>
      </w:r>
      <w:r w:rsidRPr="006C303D">
        <w:rPr>
          <w:rFonts w:ascii="Arial" w:hAnsi="Arial" w:cs="Arial"/>
          <w:sz w:val="24"/>
          <w:szCs w:val="24"/>
          <w:lang w:val="en"/>
        </w:rPr>
        <w:t>(accessed 16/4/15)</w:t>
      </w:r>
    </w:p>
    <w:p w:rsidR="00091155" w:rsidRPr="006C303D" w:rsidRDefault="00091155" w:rsidP="00205F75">
      <w:pPr>
        <w:rPr>
          <w:rFonts w:ascii="Arial" w:hAnsi="Arial" w:cs="Arial"/>
          <w:sz w:val="24"/>
          <w:szCs w:val="24"/>
          <w:lang w:val="en"/>
        </w:rPr>
      </w:pPr>
      <w:r w:rsidRPr="006C303D">
        <w:rPr>
          <w:rFonts w:ascii="Arial" w:hAnsi="Arial" w:cs="Arial"/>
          <w:sz w:val="24"/>
          <w:szCs w:val="24"/>
          <w:lang w:val="en"/>
        </w:rPr>
        <w:t>3. Brighton &amp; Hove City Council (2014); Care Act Stock</w:t>
      </w:r>
      <w:r w:rsidR="004047BA" w:rsidRPr="006C303D">
        <w:rPr>
          <w:rFonts w:ascii="Arial" w:hAnsi="Arial" w:cs="Arial"/>
          <w:sz w:val="24"/>
          <w:szCs w:val="24"/>
          <w:lang w:val="en"/>
        </w:rPr>
        <w:t>t</w:t>
      </w:r>
      <w:r w:rsidRPr="006C303D">
        <w:rPr>
          <w:rFonts w:ascii="Arial" w:hAnsi="Arial" w:cs="Arial"/>
          <w:sz w:val="24"/>
          <w:szCs w:val="24"/>
          <w:lang w:val="en"/>
        </w:rPr>
        <w:t>ake</w:t>
      </w:r>
    </w:p>
    <w:p w:rsidR="00091155" w:rsidRPr="006C303D" w:rsidRDefault="00CF0D2D" w:rsidP="00205F75">
      <w:pPr>
        <w:rPr>
          <w:rFonts w:ascii="Arial" w:hAnsi="Arial" w:cs="Arial"/>
          <w:sz w:val="24"/>
          <w:szCs w:val="24"/>
          <w:lang w:val="en"/>
        </w:rPr>
      </w:pPr>
      <w:r w:rsidRPr="006C303D">
        <w:rPr>
          <w:rFonts w:ascii="Arial" w:hAnsi="Arial" w:cs="Arial"/>
          <w:sz w:val="24"/>
          <w:szCs w:val="24"/>
          <w:lang w:val="en"/>
        </w:rPr>
        <w:t xml:space="preserve">4. </w:t>
      </w:r>
      <w:r w:rsidR="00431E06" w:rsidRPr="006C303D">
        <w:rPr>
          <w:rFonts w:ascii="Arial" w:hAnsi="Arial" w:cs="Arial"/>
          <w:sz w:val="24"/>
          <w:szCs w:val="24"/>
          <w:lang w:val="en"/>
        </w:rPr>
        <w:t xml:space="preserve">Corlett </w:t>
      </w:r>
      <w:r w:rsidR="003A3178" w:rsidRPr="006C303D">
        <w:rPr>
          <w:rFonts w:ascii="Arial" w:hAnsi="Arial" w:cs="Arial"/>
          <w:sz w:val="24"/>
          <w:szCs w:val="24"/>
          <w:lang w:val="en"/>
        </w:rPr>
        <w:t>A</w:t>
      </w:r>
      <w:r w:rsidR="00431E06" w:rsidRPr="006C303D">
        <w:rPr>
          <w:rFonts w:ascii="Arial" w:hAnsi="Arial" w:cs="Arial"/>
          <w:sz w:val="24"/>
          <w:szCs w:val="24"/>
          <w:lang w:val="en"/>
        </w:rPr>
        <w:t xml:space="preserve">. &amp; </w:t>
      </w:r>
      <w:r w:rsidR="00F12EE7" w:rsidRPr="006C303D">
        <w:rPr>
          <w:rFonts w:ascii="Arial" w:hAnsi="Arial" w:cs="Arial"/>
          <w:sz w:val="24"/>
          <w:szCs w:val="24"/>
          <w:lang w:val="en"/>
        </w:rPr>
        <w:t>Whittaker M</w:t>
      </w:r>
      <w:r w:rsidR="003A3178" w:rsidRPr="006C303D">
        <w:rPr>
          <w:rFonts w:ascii="Arial" w:hAnsi="Arial" w:cs="Arial"/>
          <w:sz w:val="24"/>
          <w:szCs w:val="24"/>
          <w:lang w:val="en"/>
        </w:rPr>
        <w:t>. (</w:t>
      </w:r>
      <w:r w:rsidRPr="006C303D">
        <w:rPr>
          <w:rFonts w:ascii="Arial" w:hAnsi="Arial" w:cs="Arial"/>
          <w:sz w:val="24"/>
          <w:szCs w:val="24"/>
          <w:lang w:val="en"/>
        </w:rPr>
        <w:t>2014); Low Pay in Britain 2014</w:t>
      </w:r>
      <w:r w:rsidR="00AF3F1E">
        <w:rPr>
          <w:rFonts w:ascii="Arial" w:hAnsi="Arial" w:cs="Arial"/>
          <w:sz w:val="24"/>
          <w:szCs w:val="24"/>
          <w:lang w:val="en"/>
        </w:rPr>
        <w:t xml:space="preserve">; </w:t>
      </w:r>
      <w:r w:rsidR="00AF3F1E" w:rsidRPr="006C303D">
        <w:rPr>
          <w:rFonts w:ascii="Arial" w:hAnsi="Arial" w:cs="Arial"/>
          <w:sz w:val="24"/>
          <w:szCs w:val="24"/>
          <w:lang w:val="en"/>
        </w:rPr>
        <w:t>Resolution Foundation;</w:t>
      </w:r>
    </w:p>
    <w:p w:rsidR="00E965C0" w:rsidRPr="006C303D" w:rsidRDefault="00E965C0" w:rsidP="00205F75">
      <w:pPr>
        <w:rPr>
          <w:rFonts w:ascii="Arial" w:hAnsi="Arial" w:cs="Arial"/>
          <w:sz w:val="24"/>
          <w:szCs w:val="24"/>
          <w:lang w:val="en"/>
        </w:rPr>
      </w:pPr>
      <w:r w:rsidRPr="006C303D">
        <w:rPr>
          <w:rFonts w:ascii="Arial" w:hAnsi="Arial" w:cs="Arial"/>
          <w:sz w:val="24"/>
          <w:szCs w:val="24"/>
          <w:lang w:val="en"/>
        </w:rPr>
        <w:t>5. Health &amp; Social Care Information Centre (2015); Personal Social Services: Staff of Social Services Departments, England as at September 2014</w:t>
      </w:r>
      <w:r w:rsidR="00E72880" w:rsidRPr="006C303D">
        <w:rPr>
          <w:rFonts w:ascii="Arial" w:hAnsi="Arial" w:cs="Arial"/>
          <w:sz w:val="24"/>
          <w:szCs w:val="24"/>
          <w:lang w:val="en"/>
        </w:rPr>
        <w:t xml:space="preserve">: </w:t>
      </w:r>
      <w:hyperlink r:id="rId13" w:history="1">
        <w:r w:rsidR="00E72880" w:rsidRPr="006C303D">
          <w:rPr>
            <w:rStyle w:val="Hyperlink"/>
            <w:rFonts w:ascii="Arial" w:hAnsi="Arial" w:cs="Arial"/>
            <w:sz w:val="24"/>
            <w:szCs w:val="24"/>
            <w:lang w:val="en"/>
          </w:rPr>
          <w:t>http://www.hscic.gov.uk/catalogue/PUB16834/pss-staff-eng-14-rpt.pdf</w:t>
        </w:r>
      </w:hyperlink>
      <w:r w:rsidR="00E72880" w:rsidRPr="006C303D">
        <w:rPr>
          <w:rFonts w:ascii="Arial" w:hAnsi="Arial" w:cs="Arial"/>
          <w:sz w:val="24"/>
          <w:szCs w:val="24"/>
          <w:lang w:val="en"/>
        </w:rPr>
        <w:t xml:space="preserve"> (accessed 20/4/15)</w:t>
      </w:r>
    </w:p>
    <w:p w:rsidR="006B3002" w:rsidRPr="006C303D" w:rsidRDefault="00431E06" w:rsidP="00205F75">
      <w:pPr>
        <w:rPr>
          <w:rFonts w:ascii="Arial" w:hAnsi="Arial" w:cs="Arial"/>
          <w:sz w:val="24"/>
          <w:szCs w:val="24"/>
          <w:lang w:val="en"/>
        </w:rPr>
      </w:pPr>
      <w:r w:rsidRPr="006C303D">
        <w:rPr>
          <w:rFonts w:ascii="Arial" w:hAnsi="Arial" w:cs="Arial"/>
          <w:sz w:val="24"/>
          <w:szCs w:val="24"/>
          <w:lang w:val="en"/>
        </w:rPr>
        <w:t>6. Oxfordshire County Council Adult Social Care; Lawrence R. (2015); Oxfordshire Adult Social Care Workforce Strategy 2015-2018</w:t>
      </w:r>
    </w:p>
    <w:p w:rsidR="00205F75" w:rsidRDefault="006C303D" w:rsidP="00205F75">
      <w:pPr>
        <w:rPr>
          <w:rFonts w:ascii="Arial" w:hAnsi="Arial" w:cs="Arial"/>
          <w:sz w:val="24"/>
          <w:szCs w:val="24"/>
        </w:rPr>
      </w:pPr>
      <w:r w:rsidRPr="006C303D">
        <w:rPr>
          <w:rFonts w:ascii="Arial" w:hAnsi="Arial" w:cs="Arial"/>
          <w:sz w:val="24"/>
          <w:szCs w:val="24"/>
        </w:rPr>
        <w:t xml:space="preserve">7. The Social Care Commitment: </w:t>
      </w:r>
      <w:hyperlink r:id="rId14" w:history="1">
        <w:r w:rsidRPr="009B6910">
          <w:rPr>
            <w:rStyle w:val="Hyperlink"/>
            <w:rFonts w:ascii="Arial" w:hAnsi="Arial" w:cs="Arial"/>
            <w:sz w:val="24"/>
            <w:szCs w:val="24"/>
          </w:rPr>
          <w:t>https://www.thesocialcarecommitment.org.uk/</w:t>
        </w:r>
      </w:hyperlink>
      <w:r>
        <w:rPr>
          <w:rFonts w:ascii="Arial" w:hAnsi="Arial" w:cs="Arial"/>
          <w:sz w:val="24"/>
          <w:szCs w:val="24"/>
        </w:rPr>
        <w:t xml:space="preserve"> (accessed 23/4/15)</w:t>
      </w:r>
    </w:p>
    <w:p w:rsidR="004E3825" w:rsidRDefault="004E3825" w:rsidP="00205F75">
      <w:pPr>
        <w:rPr>
          <w:rFonts w:ascii="Arial" w:hAnsi="Arial" w:cs="Arial"/>
          <w:sz w:val="24"/>
          <w:szCs w:val="24"/>
        </w:rPr>
      </w:pPr>
      <w:r>
        <w:rPr>
          <w:rFonts w:ascii="Arial" w:hAnsi="Arial" w:cs="Arial"/>
          <w:sz w:val="24"/>
          <w:szCs w:val="24"/>
        </w:rPr>
        <w:t xml:space="preserve">8. Brighton &amp; Hove City Council (2015); The Way Ahead, Corporate Plan 2015 – 2019: </w:t>
      </w:r>
      <w:hyperlink r:id="rId15" w:history="1">
        <w:r w:rsidRPr="00956EAD">
          <w:rPr>
            <w:rStyle w:val="Hyperlink"/>
            <w:rFonts w:ascii="Arial" w:hAnsi="Arial" w:cs="Arial"/>
            <w:sz w:val="24"/>
            <w:szCs w:val="24"/>
          </w:rPr>
          <w:t>http://wave.brighton-hove.gov.uk/LGCSDocumentLibrary/Brighton%20%20Hove%20City%20Council%20Corporate%20Plan%202015-2019%20The%20way%20ahead.pdf</w:t>
        </w:r>
      </w:hyperlink>
      <w:r w:rsidR="0095222A">
        <w:rPr>
          <w:rFonts w:ascii="Arial" w:hAnsi="Arial" w:cs="Arial"/>
          <w:sz w:val="24"/>
          <w:szCs w:val="24"/>
        </w:rPr>
        <w:t xml:space="preserve"> (</w:t>
      </w:r>
      <w:r>
        <w:rPr>
          <w:rFonts w:ascii="Arial" w:hAnsi="Arial" w:cs="Arial"/>
          <w:sz w:val="24"/>
          <w:szCs w:val="24"/>
        </w:rPr>
        <w:t>accessed 27/4/15)</w:t>
      </w:r>
    </w:p>
    <w:p w:rsidR="005D6F9C" w:rsidRDefault="00D4091D" w:rsidP="00205F75">
      <w:pPr>
        <w:rPr>
          <w:rFonts w:ascii="Arial" w:hAnsi="Arial" w:cs="Arial"/>
          <w:sz w:val="24"/>
          <w:szCs w:val="24"/>
        </w:rPr>
      </w:pPr>
      <w:r>
        <w:rPr>
          <w:rFonts w:ascii="Arial" w:hAnsi="Arial" w:cs="Arial"/>
          <w:sz w:val="24"/>
          <w:szCs w:val="24"/>
        </w:rPr>
        <w:t>9.</w:t>
      </w:r>
      <w:r w:rsidR="005D6F9C">
        <w:rPr>
          <w:rFonts w:ascii="Arial" w:hAnsi="Arial" w:cs="Arial"/>
          <w:sz w:val="24"/>
          <w:szCs w:val="24"/>
        </w:rPr>
        <w:t xml:space="preserve"> Skills for Care (2015) NMDS-SC Trend Briefing; Recruitment and Retention: </w:t>
      </w:r>
      <w:hyperlink r:id="rId16" w:history="1">
        <w:r w:rsidR="005D6F9C" w:rsidRPr="001B587A">
          <w:rPr>
            <w:rStyle w:val="Hyperlink"/>
            <w:rFonts w:ascii="Arial" w:hAnsi="Arial" w:cs="Arial"/>
            <w:sz w:val="24"/>
            <w:szCs w:val="24"/>
          </w:rPr>
          <w:t>http://www.skillsforcare.org.uk/Document-library/NMDS-SC,-workforce-intelligence-and-innovation/NMDS-SC/Briefings/Trend-Briefing-2---Recruitment-and-Retention.pdf</w:t>
        </w:r>
      </w:hyperlink>
      <w:r w:rsidR="005D6F9C">
        <w:rPr>
          <w:rFonts w:ascii="Arial" w:hAnsi="Arial" w:cs="Arial"/>
          <w:sz w:val="24"/>
          <w:szCs w:val="24"/>
        </w:rPr>
        <w:t xml:space="preserve"> (accessed </w:t>
      </w:r>
      <w:r w:rsidR="0039377A">
        <w:rPr>
          <w:rFonts w:ascii="Arial" w:hAnsi="Arial" w:cs="Arial"/>
          <w:sz w:val="24"/>
          <w:szCs w:val="24"/>
        </w:rPr>
        <w:t>6/7/15)</w:t>
      </w:r>
    </w:p>
    <w:p w:rsidR="00D4091D" w:rsidRDefault="00D4091D" w:rsidP="00205F75">
      <w:pPr>
        <w:rPr>
          <w:rFonts w:ascii="Arial" w:hAnsi="Arial" w:cs="Arial"/>
          <w:sz w:val="24"/>
          <w:szCs w:val="24"/>
        </w:rPr>
      </w:pPr>
      <w:r>
        <w:rPr>
          <w:rFonts w:ascii="Arial" w:hAnsi="Arial" w:cs="Arial"/>
          <w:sz w:val="24"/>
          <w:szCs w:val="24"/>
        </w:rPr>
        <w:t xml:space="preserve">10. Skills for Care (2014); Recruitment and Retention Strategy, 2014-2017; </w:t>
      </w:r>
      <w:hyperlink r:id="rId17" w:history="1">
        <w:r w:rsidRPr="001B587A">
          <w:rPr>
            <w:rStyle w:val="Hyperlink"/>
            <w:rFonts w:ascii="Arial" w:hAnsi="Arial" w:cs="Arial"/>
            <w:sz w:val="24"/>
            <w:szCs w:val="24"/>
          </w:rPr>
          <w:t>http://www.skillsforcare.org.uk/Document-library/Finding-and-keeping-workers/Recruitment-and-retention-strategy/recruitment-and-retention-strategy-2014---2017.pdf</w:t>
        </w:r>
      </w:hyperlink>
      <w:r>
        <w:rPr>
          <w:rFonts w:ascii="Arial" w:hAnsi="Arial" w:cs="Arial"/>
          <w:sz w:val="24"/>
          <w:szCs w:val="24"/>
        </w:rPr>
        <w:t xml:space="preserve"> (accessed 7/7/15)</w:t>
      </w:r>
    </w:p>
    <w:p w:rsidR="00CE466C" w:rsidRDefault="00CE466C" w:rsidP="00205F75">
      <w:pPr>
        <w:rPr>
          <w:rFonts w:ascii="Arial" w:hAnsi="Arial" w:cs="Arial"/>
          <w:sz w:val="24"/>
          <w:szCs w:val="24"/>
        </w:rPr>
      </w:pPr>
      <w:r>
        <w:rPr>
          <w:rFonts w:ascii="Arial" w:hAnsi="Arial" w:cs="Arial"/>
          <w:sz w:val="24"/>
          <w:szCs w:val="24"/>
        </w:rPr>
        <w:t>11. The Guardian (2015)</w:t>
      </w:r>
      <w:r w:rsidR="003B2F96">
        <w:rPr>
          <w:rFonts w:ascii="Arial" w:hAnsi="Arial" w:cs="Arial"/>
          <w:sz w:val="24"/>
          <w:szCs w:val="24"/>
        </w:rPr>
        <w:t>; Why are so few y</w:t>
      </w:r>
      <w:r w:rsidR="00AF3F1E">
        <w:rPr>
          <w:rFonts w:ascii="Arial" w:hAnsi="Arial" w:cs="Arial"/>
          <w:sz w:val="24"/>
          <w:szCs w:val="24"/>
        </w:rPr>
        <w:t>oung</w:t>
      </w:r>
      <w:r>
        <w:rPr>
          <w:rFonts w:ascii="Arial" w:hAnsi="Arial" w:cs="Arial"/>
          <w:sz w:val="24"/>
          <w:szCs w:val="24"/>
        </w:rPr>
        <w:t xml:space="preserve"> people taking up social care apprenticeships; </w:t>
      </w:r>
      <w:hyperlink r:id="rId18" w:history="1">
        <w:r w:rsidRPr="001B587A">
          <w:rPr>
            <w:rStyle w:val="Hyperlink"/>
            <w:rFonts w:ascii="Arial" w:hAnsi="Arial" w:cs="Arial"/>
            <w:sz w:val="24"/>
            <w:szCs w:val="24"/>
          </w:rPr>
          <w:t>http://www.theguardian.com/careers/2015/jun/29/why-are-so-few-young-people-taking-up-social-care-apprenticeships</w:t>
        </w:r>
      </w:hyperlink>
      <w:r>
        <w:rPr>
          <w:rFonts w:ascii="Arial" w:hAnsi="Arial" w:cs="Arial"/>
          <w:sz w:val="24"/>
          <w:szCs w:val="24"/>
        </w:rPr>
        <w:t xml:space="preserve"> (accessed 6/7/15)</w:t>
      </w:r>
    </w:p>
    <w:p w:rsidR="00CE466C" w:rsidRDefault="00CE466C" w:rsidP="00205F75">
      <w:pPr>
        <w:rPr>
          <w:rFonts w:ascii="Arial" w:hAnsi="Arial" w:cs="Arial"/>
          <w:sz w:val="24"/>
          <w:szCs w:val="24"/>
        </w:rPr>
      </w:pPr>
      <w:r>
        <w:rPr>
          <w:rFonts w:ascii="Arial" w:hAnsi="Arial" w:cs="Arial"/>
          <w:sz w:val="24"/>
          <w:szCs w:val="24"/>
        </w:rPr>
        <w:t xml:space="preserve">12. Jones, K. (2013); The Road Less Travelled – Improving the </w:t>
      </w:r>
      <w:r w:rsidR="00241AF5">
        <w:rPr>
          <w:rFonts w:ascii="Arial" w:hAnsi="Arial" w:cs="Arial"/>
          <w:sz w:val="24"/>
          <w:szCs w:val="24"/>
        </w:rPr>
        <w:t>Apprenticeship</w:t>
      </w:r>
      <w:r>
        <w:rPr>
          <w:rFonts w:ascii="Arial" w:hAnsi="Arial" w:cs="Arial"/>
          <w:sz w:val="24"/>
          <w:szCs w:val="24"/>
        </w:rPr>
        <w:t xml:space="preserve"> Pathway for Young People; </w:t>
      </w:r>
      <w:r w:rsidR="00AF3F1E">
        <w:rPr>
          <w:rFonts w:ascii="Arial" w:hAnsi="Arial" w:cs="Arial"/>
          <w:sz w:val="24"/>
          <w:szCs w:val="24"/>
        </w:rPr>
        <w:t>The Work Foundation</w:t>
      </w:r>
      <w:r>
        <w:rPr>
          <w:rFonts w:ascii="Arial" w:hAnsi="Arial" w:cs="Arial"/>
          <w:sz w:val="24"/>
          <w:szCs w:val="24"/>
        </w:rPr>
        <w:t xml:space="preserve"> </w:t>
      </w:r>
      <w:hyperlink r:id="rId19" w:history="1">
        <w:r w:rsidRPr="001B587A">
          <w:rPr>
            <w:rStyle w:val="Hyperlink"/>
            <w:rFonts w:ascii="Arial" w:hAnsi="Arial" w:cs="Arial"/>
            <w:sz w:val="24"/>
            <w:szCs w:val="24"/>
          </w:rPr>
          <w:t>http://www.theworkfoundation.com/DownloadPublication/Report/344_Apprenticeship%20policy%20paper%20FINAL.pdf</w:t>
        </w:r>
      </w:hyperlink>
      <w:r>
        <w:rPr>
          <w:rFonts w:ascii="Arial" w:hAnsi="Arial" w:cs="Arial"/>
          <w:sz w:val="24"/>
          <w:szCs w:val="24"/>
        </w:rPr>
        <w:t xml:space="preserve">  (accessed 6/7/15)</w:t>
      </w:r>
    </w:p>
    <w:p w:rsidR="007A4A87" w:rsidRDefault="007A4A87" w:rsidP="00205F75">
      <w:pPr>
        <w:rPr>
          <w:rFonts w:ascii="Arial" w:hAnsi="Arial" w:cs="Arial"/>
          <w:sz w:val="24"/>
          <w:szCs w:val="24"/>
        </w:rPr>
      </w:pPr>
      <w:r>
        <w:rPr>
          <w:rFonts w:ascii="Arial" w:hAnsi="Arial" w:cs="Arial"/>
          <w:sz w:val="24"/>
          <w:szCs w:val="24"/>
        </w:rPr>
        <w:t xml:space="preserve">13. Local </w:t>
      </w:r>
      <w:r w:rsidR="00241AF5">
        <w:rPr>
          <w:rFonts w:ascii="Arial" w:hAnsi="Arial" w:cs="Arial"/>
          <w:sz w:val="24"/>
          <w:szCs w:val="24"/>
        </w:rPr>
        <w:t>Government</w:t>
      </w:r>
      <w:r>
        <w:rPr>
          <w:rFonts w:ascii="Arial" w:hAnsi="Arial" w:cs="Arial"/>
          <w:sz w:val="24"/>
          <w:szCs w:val="24"/>
        </w:rPr>
        <w:t xml:space="preserve"> Association (2015); National Living Wage to cost council £1 billion a year by 2020/21; </w:t>
      </w:r>
      <w:hyperlink r:id="rId20" w:history="1">
        <w:r w:rsidRPr="0027647F">
          <w:rPr>
            <w:rStyle w:val="Hyperlink"/>
            <w:rFonts w:ascii="Arial" w:hAnsi="Arial" w:cs="Arial"/>
            <w:sz w:val="24"/>
            <w:szCs w:val="24"/>
          </w:rPr>
          <w:t>http://www.local.gov.uk/web/guest/media-releases/-/journal_content/56/10180/7386419/NEWS</w:t>
        </w:r>
      </w:hyperlink>
      <w:r>
        <w:rPr>
          <w:rFonts w:ascii="Arial" w:hAnsi="Arial" w:cs="Arial"/>
          <w:sz w:val="24"/>
          <w:szCs w:val="24"/>
        </w:rPr>
        <w:t xml:space="preserve"> (accessed 15/7/15)</w:t>
      </w:r>
    </w:p>
    <w:p w:rsidR="008D7E2E" w:rsidRDefault="008D7E2E" w:rsidP="00205F75">
      <w:pPr>
        <w:rPr>
          <w:rFonts w:ascii="Arial" w:hAnsi="Arial" w:cs="Arial"/>
          <w:sz w:val="24"/>
          <w:szCs w:val="24"/>
        </w:rPr>
      </w:pPr>
      <w:r>
        <w:rPr>
          <w:rFonts w:ascii="Arial" w:hAnsi="Arial" w:cs="Arial"/>
          <w:sz w:val="24"/>
          <w:szCs w:val="24"/>
        </w:rPr>
        <w:t xml:space="preserve">14. UK Commission for Employment &amp; Skills (2015); Sector Insights: skills and performance challenges in the health and social care sector; </w:t>
      </w:r>
      <w:hyperlink r:id="rId21" w:history="1">
        <w:r w:rsidRPr="0000360F">
          <w:rPr>
            <w:rStyle w:val="Hyperlink"/>
            <w:rFonts w:ascii="Arial" w:hAnsi="Arial" w:cs="Arial"/>
            <w:sz w:val="24"/>
            <w:szCs w:val="24"/>
          </w:rPr>
          <w:t>https://www.gov.uk/government/uploads/system/uploads/attachment_data/file/430137/Skills_and_Performance_Challenges_in_Health_and_Social_Care.pdf</w:t>
        </w:r>
      </w:hyperlink>
      <w:r>
        <w:rPr>
          <w:rFonts w:ascii="Arial" w:hAnsi="Arial" w:cs="Arial"/>
          <w:sz w:val="24"/>
          <w:szCs w:val="24"/>
        </w:rPr>
        <w:t xml:space="preserve"> (accessed 30/7/15) </w:t>
      </w:r>
    </w:p>
    <w:p w:rsidR="00E66CA2" w:rsidRDefault="00B5257F" w:rsidP="00205F75">
      <w:pPr>
        <w:rPr>
          <w:color w:val="000000"/>
          <w:sz w:val="18"/>
          <w:szCs w:val="18"/>
        </w:rPr>
      </w:pPr>
      <w:r>
        <w:rPr>
          <w:rFonts w:ascii="Arial" w:hAnsi="Arial" w:cs="Arial"/>
          <w:sz w:val="24"/>
          <w:szCs w:val="24"/>
        </w:rPr>
        <w:t xml:space="preserve">15. County Councils Network (2015); County Care Markets: Market Sustainability &amp; the </w:t>
      </w:r>
      <w:r w:rsidRPr="00EA6298">
        <w:rPr>
          <w:rFonts w:ascii="Arial" w:hAnsi="Arial" w:cs="Arial"/>
          <w:sz w:val="24"/>
          <w:szCs w:val="24"/>
        </w:rPr>
        <w:t xml:space="preserve">Care Act </w:t>
      </w:r>
      <w:r w:rsidR="00E66CA2" w:rsidRPr="00EA6298">
        <w:rPr>
          <w:rFonts w:ascii="Arial" w:hAnsi="Arial" w:cs="Arial"/>
          <w:color w:val="000000"/>
          <w:sz w:val="24"/>
          <w:szCs w:val="24"/>
        </w:rPr>
        <w:t>www.laingbuisson.c</w:t>
      </w:r>
      <w:r w:rsidR="00EA6298">
        <w:rPr>
          <w:rFonts w:ascii="Arial" w:hAnsi="Arial" w:cs="Arial"/>
          <w:color w:val="000000"/>
          <w:sz w:val="24"/>
          <w:szCs w:val="24"/>
        </w:rPr>
        <w:t xml:space="preserve">o.uk/MarketReports/ FreeReports  </w:t>
      </w:r>
      <w:r w:rsidR="00EA6298" w:rsidRPr="00EA6298">
        <w:rPr>
          <w:rFonts w:ascii="Arial" w:hAnsi="Arial" w:cs="Arial"/>
          <w:color w:val="000000"/>
          <w:sz w:val="24"/>
          <w:szCs w:val="24"/>
        </w:rPr>
        <w:t xml:space="preserve">  (accessed 30/7/15)</w:t>
      </w:r>
      <w:r w:rsidR="00EA6298">
        <w:rPr>
          <w:color w:val="000000"/>
          <w:sz w:val="18"/>
          <w:szCs w:val="18"/>
        </w:rPr>
        <w:t xml:space="preserve"> </w:t>
      </w:r>
    </w:p>
    <w:p w:rsidR="005A6D66" w:rsidRDefault="005A6D66" w:rsidP="00205F75">
      <w:pPr>
        <w:rPr>
          <w:rFonts w:ascii="Arial" w:hAnsi="Arial" w:cs="Arial"/>
          <w:color w:val="000000"/>
          <w:sz w:val="24"/>
          <w:szCs w:val="24"/>
        </w:rPr>
      </w:pPr>
      <w:r>
        <w:rPr>
          <w:rFonts w:ascii="Arial" w:hAnsi="Arial" w:cs="Arial"/>
          <w:color w:val="000000"/>
          <w:sz w:val="24"/>
          <w:szCs w:val="24"/>
        </w:rPr>
        <w:t xml:space="preserve">16. Skills for Care; Finders Keepers, the Adult Social Care Recruitment and Retention Toolkit; </w:t>
      </w:r>
      <w:hyperlink r:id="rId22" w:history="1">
        <w:r w:rsidRPr="0022266C">
          <w:rPr>
            <w:rStyle w:val="Hyperlink"/>
            <w:rFonts w:ascii="Arial" w:hAnsi="Arial" w:cs="Arial"/>
            <w:sz w:val="24"/>
            <w:szCs w:val="24"/>
          </w:rPr>
          <w:t>http://www.skillsforcare.org.uk/Document-library/Finding-and-keeping-workers/Practical-toolkits/FindersKeepers.pdf</w:t>
        </w:r>
      </w:hyperlink>
      <w:r>
        <w:rPr>
          <w:rFonts w:ascii="Arial" w:hAnsi="Arial" w:cs="Arial"/>
          <w:color w:val="000000"/>
          <w:sz w:val="24"/>
          <w:szCs w:val="24"/>
        </w:rPr>
        <w:t xml:space="preserve"> (</w:t>
      </w:r>
      <w:r w:rsidR="00241AF5">
        <w:rPr>
          <w:rFonts w:ascii="Arial" w:hAnsi="Arial" w:cs="Arial"/>
          <w:color w:val="000000"/>
          <w:sz w:val="24"/>
          <w:szCs w:val="24"/>
        </w:rPr>
        <w:t>accessed 27</w:t>
      </w:r>
      <w:r>
        <w:rPr>
          <w:rFonts w:ascii="Arial" w:hAnsi="Arial" w:cs="Arial"/>
          <w:color w:val="000000"/>
          <w:sz w:val="24"/>
          <w:szCs w:val="24"/>
        </w:rPr>
        <w:t>/8/15)</w:t>
      </w:r>
    </w:p>
    <w:p w:rsidR="003B2F96" w:rsidRDefault="003B2F96" w:rsidP="00205F75">
      <w:pPr>
        <w:rPr>
          <w:rFonts w:ascii="Arial" w:hAnsi="Arial" w:cs="Arial"/>
          <w:color w:val="000000"/>
          <w:sz w:val="24"/>
          <w:szCs w:val="24"/>
        </w:rPr>
      </w:pPr>
      <w:r>
        <w:rPr>
          <w:rFonts w:ascii="Arial" w:hAnsi="Arial" w:cs="Arial"/>
          <w:color w:val="000000"/>
          <w:sz w:val="24"/>
          <w:szCs w:val="24"/>
        </w:rPr>
        <w:t xml:space="preserve">17. </w:t>
      </w:r>
      <w:r w:rsidR="000874AB">
        <w:rPr>
          <w:rFonts w:ascii="Arial" w:hAnsi="Arial" w:cs="Arial"/>
          <w:color w:val="000000"/>
          <w:sz w:val="24"/>
          <w:szCs w:val="24"/>
        </w:rPr>
        <w:t>UK smartphone ownership reaches record high, but growth continues to slow</w:t>
      </w:r>
      <w:r w:rsidR="008128C9">
        <w:rPr>
          <w:rFonts w:ascii="Arial" w:hAnsi="Arial" w:cs="Arial"/>
          <w:color w:val="000000"/>
          <w:sz w:val="24"/>
          <w:szCs w:val="24"/>
        </w:rPr>
        <w:t xml:space="preserve">. </w:t>
      </w:r>
      <w:hyperlink r:id="rId23" w:history="1">
        <w:r w:rsidR="008128C9" w:rsidRPr="001134A0">
          <w:rPr>
            <w:rStyle w:val="Hyperlink"/>
            <w:rFonts w:ascii="Arial" w:hAnsi="Arial" w:cs="Arial"/>
            <w:sz w:val="24"/>
            <w:szCs w:val="24"/>
          </w:rPr>
          <w:t>http://www.itproportal.com/2015/02/26/uk-smartphone-ownership-reaches-record-high-growth-continues-slow/</w:t>
        </w:r>
      </w:hyperlink>
      <w:r w:rsidR="008128C9">
        <w:rPr>
          <w:rFonts w:ascii="Arial" w:hAnsi="Arial" w:cs="Arial"/>
          <w:color w:val="000000"/>
          <w:sz w:val="24"/>
          <w:szCs w:val="24"/>
        </w:rPr>
        <w:t xml:space="preserve"> (accessed 28/8/15)</w:t>
      </w:r>
    </w:p>
    <w:p w:rsidR="00790DD0" w:rsidRPr="005A6D66" w:rsidRDefault="00790DD0" w:rsidP="00205F75">
      <w:pPr>
        <w:rPr>
          <w:rFonts w:ascii="Arial" w:hAnsi="Arial" w:cs="Arial"/>
          <w:sz w:val="24"/>
          <w:szCs w:val="24"/>
        </w:rPr>
      </w:pPr>
      <w:r>
        <w:rPr>
          <w:rFonts w:ascii="Arial" w:hAnsi="Arial" w:cs="Arial"/>
          <w:color w:val="000000"/>
          <w:sz w:val="24"/>
          <w:szCs w:val="24"/>
        </w:rPr>
        <w:t xml:space="preserve">18. I Care Ambassadors; </w:t>
      </w:r>
      <w:hyperlink r:id="rId24" w:history="1">
        <w:r w:rsidRPr="001134A0">
          <w:rPr>
            <w:rStyle w:val="Hyperlink"/>
            <w:rFonts w:ascii="Arial" w:hAnsi="Arial" w:cs="Arial"/>
            <w:sz w:val="24"/>
            <w:szCs w:val="24"/>
          </w:rPr>
          <w:t>http://www.skillsforcare.org.uk/Finding-and-keeping-workers/I-CareAmbassadors/I-Care-Ambassadors.aspx</w:t>
        </w:r>
      </w:hyperlink>
      <w:r>
        <w:rPr>
          <w:rFonts w:ascii="Arial" w:hAnsi="Arial" w:cs="Arial"/>
          <w:color w:val="000000"/>
          <w:sz w:val="24"/>
          <w:szCs w:val="24"/>
        </w:rPr>
        <w:t xml:space="preserve"> (accessed 28/8/15)</w:t>
      </w:r>
    </w:p>
    <w:sectPr w:rsidR="00790DD0" w:rsidRPr="005A6D66">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CF5" w:rsidRDefault="00D81CF5" w:rsidP="00F15CCF">
      <w:pPr>
        <w:spacing w:after="0" w:line="240" w:lineRule="auto"/>
      </w:pPr>
      <w:r>
        <w:separator/>
      </w:r>
    </w:p>
  </w:endnote>
  <w:endnote w:type="continuationSeparator" w:id="0">
    <w:p w:rsidR="00D81CF5" w:rsidRDefault="00D81CF5" w:rsidP="00F1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CF5" w:rsidRDefault="00D81CF5" w:rsidP="00F15CCF">
    <w:pPr>
      <w:pStyle w:val="Footer"/>
      <w:jc w:val="center"/>
    </w:pPr>
    <w:r>
      <w:t xml:space="preserve">Page </w:t>
    </w:r>
    <w:r>
      <w:fldChar w:fldCharType="begin"/>
    </w:r>
    <w:r>
      <w:instrText xml:space="preserve"> PAGE  \* Arabic  \* MERGEFORMAT </w:instrText>
    </w:r>
    <w:r>
      <w:fldChar w:fldCharType="separate"/>
    </w:r>
    <w:r w:rsidR="00CD596F">
      <w:rPr>
        <w:noProof/>
      </w:rPr>
      <w:t>8</w:t>
    </w:r>
    <w:r>
      <w:fldChar w:fldCharType="end"/>
    </w:r>
    <w:r>
      <w:t>.</w:t>
    </w:r>
  </w:p>
  <w:p w:rsidR="00D81CF5" w:rsidRDefault="00D81CF5">
    <w:pPr>
      <w:pStyle w:val="Footer"/>
    </w:pPr>
    <w:r>
      <w:t xml:space="preserve">Last saved </w:t>
    </w:r>
    <w:fldSimple w:instr=" SAVEDATE   \* MERGEFORMAT ">
      <w:r w:rsidR="00CD596F">
        <w:rPr>
          <w:noProof/>
        </w:rPr>
        <w:t>27/05/2016 09:57:00</w:t>
      </w:r>
    </w:fldSimple>
    <w:r>
      <w:t xml:space="preserve">                                                                                                     Tim Wilson</w:t>
    </w:r>
  </w:p>
  <w:p w:rsidR="00D81CF5" w:rsidRDefault="00D81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CF5" w:rsidRDefault="00D81CF5" w:rsidP="00F15CCF">
      <w:pPr>
        <w:spacing w:after="0" w:line="240" w:lineRule="auto"/>
      </w:pPr>
      <w:r>
        <w:separator/>
      </w:r>
    </w:p>
  </w:footnote>
  <w:footnote w:type="continuationSeparator" w:id="0">
    <w:p w:rsidR="00D81CF5" w:rsidRDefault="00D81CF5" w:rsidP="00F15CCF">
      <w:pPr>
        <w:spacing w:after="0" w:line="240" w:lineRule="auto"/>
      </w:pPr>
      <w:r>
        <w:continuationSeparator/>
      </w:r>
    </w:p>
  </w:footnote>
  <w:footnote w:id="1">
    <w:p w:rsidR="00D81CF5" w:rsidRDefault="00D81CF5">
      <w:pPr>
        <w:pStyle w:val="FootnoteText"/>
      </w:pPr>
      <w:r>
        <w:rPr>
          <w:rStyle w:val="FootnoteReference"/>
        </w:rPr>
        <w:footnoteRef/>
      </w:r>
      <w:r>
        <w:t xml:space="preserve"> The term social care services here encompasses all social care services, including both assessment and provider services.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49AB"/>
    <w:multiLevelType w:val="hybridMultilevel"/>
    <w:tmpl w:val="CF7EA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D40D2D"/>
    <w:multiLevelType w:val="hybridMultilevel"/>
    <w:tmpl w:val="08DE9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B40F0E"/>
    <w:multiLevelType w:val="hybridMultilevel"/>
    <w:tmpl w:val="6B9CA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674B66"/>
    <w:multiLevelType w:val="hybridMultilevel"/>
    <w:tmpl w:val="0C80E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D8337B"/>
    <w:multiLevelType w:val="hybridMultilevel"/>
    <w:tmpl w:val="26B08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9A612F"/>
    <w:multiLevelType w:val="hybridMultilevel"/>
    <w:tmpl w:val="E45C1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BB5881"/>
    <w:multiLevelType w:val="hybridMultilevel"/>
    <w:tmpl w:val="C8504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BE6DF5"/>
    <w:multiLevelType w:val="hybridMultilevel"/>
    <w:tmpl w:val="52DAE6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1B253C4"/>
    <w:multiLevelType w:val="hybridMultilevel"/>
    <w:tmpl w:val="7812D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782CE3"/>
    <w:multiLevelType w:val="hybridMultilevel"/>
    <w:tmpl w:val="5C46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FA2986"/>
    <w:multiLevelType w:val="hybridMultilevel"/>
    <w:tmpl w:val="76E83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BA2B1C"/>
    <w:multiLevelType w:val="hybridMultilevel"/>
    <w:tmpl w:val="0AA0F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FFE6D0B"/>
    <w:multiLevelType w:val="hybridMultilevel"/>
    <w:tmpl w:val="13C4A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3474FE"/>
    <w:multiLevelType w:val="hybridMultilevel"/>
    <w:tmpl w:val="1D6C37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148454D"/>
    <w:multiLevelType w:val="hybridMultilevel"/>
    <w:tmpl w:val="9E08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143042"/>
    <w:multiLevelType w:val="hybridMultilevel"/>
    <w:tmpl w:val="6ECC1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44025D"/>
    <w:multiLevelType w:val="hybridMultilevel"/>
    <w:tmpl w:val="E872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C308A5"/>
    <w:multiLevelType w:val="hybridMultilevel"/>
    <w:tmpl w:val="7DF6AA44"/>
    <w:lvl w:ilvl="0" w:tplc="F59AAED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9B1D2A"/>
    <w:multiLevelType w:val="hybridMultilevel"/>
    <w:tmpl w:val="2FB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8372F5"/>
    <w:multiLevelType w:val="hybridMultilevel"/>
    <w:tmpl w:val="B7ACE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6725161"/>
    <w:multiLevelType w:val="hybridMultilevel"/>
    <w:tmpl w:val="66AC3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892F14"/>
    <w:multiLevelType w:val="hybridMultilevel"/>
    <w:tmpl w:val="ED5EE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71E17F4"/>
    <w:multiLevelType w:val="hybridMultilevel"/>
    <w:tmpl w:val="4502D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CC54AE"/>
    <w:multiLevelType w:val="hybridMultilevel"/>
    <w:tmpl w:val="C1EAC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BA5107"/>
    <w:multiLevelType w:val="hybridMultilevel"/>
    <w:tmpl w:val="13C4A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6251E1"/>
    <w:multiLevelType w:val="hybridMultilevel"/>
    <w:tmpl w:val="B2A26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720A53"/>
    <w:multiLevelType w:val="hybridMultilevel"/>
    <w:tmpl w:val="BB40215C"/>
    <w:lvl w:ilvl="0" w:tplc="A44C9E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176C7C"/>
    <w:multiLevelType w:val="hybridMultilevel"/>
    <w:tmpl w:val="BB1CC332"/>
    <w:lvl w:ilvl="0" w:tplc="A23C6D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73D0112"/>
    <w:multiLevelType w:val="hybridMultilevel"/>
    <w:tmpl w:val="9B106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C279AB"/>
    <w:multiLevelType w:val="hybridMultilevel"/>
    <w:tmpl w:val="ED5EE54E"/>
    <w:lvl w:ilvl="0" w:tplc="F59AAED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AA2182"/>
    <w:multiLevelType w:val="hybridMultilevel"/>
    <w:tmpl w:val="55261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7B67C6"/>
    <w:multiLevelType w:val="hybridMultilevel"/>
    <w:tmpl w:val="B36020BA"/>
    <w:lvl w:ilvl="0" w:tplc="09FC8D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C11EEB"/>
    <w:multiLevelType w:val="hybridMultilevel"/>
    <w:tmpl w:val="CE4847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962236D"/>
    <w:multiLevelType w:val="hybridMultilevel"/>
    <w:tmpl w:val="996E9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9EE2F44"/>
    <w:multiLevelType w:val="hybridMultilevel"/>
    <w:tmpl w:val="E112F7AA"/>
    <w:lvl w:ilvl="0" w:tplc="09FC8D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C3041AF"/>
    <w:multiLevelType w:val="hybridMultilevel"/>
    <w:tmpl w:val="1DC8C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E0F168F"/>
    <w:multiLevelType w:val="hybridMultilevel"/>
    <w:tmpl w:val="90A22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7443F0A"/>
    <w:multiLevelType w:val="hybridMultilevel"/>
    <w:tmpl w:val="611E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F0420A8"/>
    <w:multiLevelType w:val="hybridMultilevel"/>
    <w:tmpl w:val="1AB8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34"/>
  </w:num>
  <w:num w:numId="4">
    <w:abstractNumId w:val="21"/>
  </w:num>
  <w:num w:numId="5">
    <w:abstractNumId w:val="8"/>
  </w:num>
  <w:num w:numId="6">
    <w:abstractNumId w:val="16"/>
  </w:num>
  <w:num w:numId="7">
    <w:abstractNumId w:val="10"/>
  </w:num>
  <w:num w:numId="8">
    <w:abstractNumId w:val="14"/>
  </w:num>
  <w:num w:numId="9">
    <w:abstractNumId w:val="2"/>
  </w:num>
  <w:num w:numId="10">
    <w:abstractNumId w:val="30"/>
  </w:num>
  <w:num w:numId="11">
    <w:abstractNumId w:val="18"/>
  </w:num>
  <w:num w:numId="12">
    <w:abstractNumId w:val="9"/>
  </w:num>
  <w:num w:numId="13">
    <w:abstractNumId w:val="25"/>
  </w:num>
  <w:num w:numId="14">
    <w:abstractNumId w:val="26"/>
  </w:num>
  <w:num w:numId="15">
    <w:abstractNumId w:val="32"/>
  </w:num>
  <w:num w:numId="16">
    <w:abstractNumId w:val="11"/>
  </w:num>
  <w:num w:numId="17">
    <w:abstractNumId w:val="13"/>
  </w:num>
  <w:num w:numId="18">
    <w:abstractNumId w:val="38"/>
  </w:num>
  <w:num w:numId="19">
    <w:abstractNumId w:val="22"/>
  </w:num>
  <w:num w:numId="20">
    <w:abstractNumId w:val="1"/>
  </w:num>
  <w:num w:numId="21">
    <w:abstractNumId w:val="6"/>
  </w:num>
  <w:num w:numId="22">
    <w:abstractNumId w:val="28"/>
  </w:num>
  <w:num w:numId="23">
    <w:abstractNumId w:val="4"/>
  </w:num>
  <w:num w:numId="24">
    <w:abstractNumId w:val="20"/>
  </w:num>
  <w:num w:numId="25">
    <w:abstractNumId w:val="17"/>
  </w:num>
  <w:num w:numId="26">
    <w:abstractNumId w:val="29"/>
  </w:num>
  <w:num w:numId="27">
    <w:abstractNumId w:val="12"/>
  </w:num>
  <w:num w:numId="28">
    <w:abstractNumId w:val="24"/>
  </w:num>
  <w:num w:numId="29">
    <w:abstractNumId w:val="27"/>
  </w:num>
  <w:num w:numId="30">
    <w:abstractNumId w:val="33"/>
  </w:num>
  <w:num w:numId="31">
    <w:abstractNumId w:val="15"/>
  </w:num>
  <w:num w:numId="32">
    <w:abstractNumId w:val="36"/>
  </w:num>
  <w:num w:numId="33">
    <w:abstractNumId w:val="5"/>
  </w:num>
  <w:num w:numId="34">
    <w:abstractNumId w:val="35"/>
  </w:num>
  <w:num w:numId="35">
    <w:abstractNumId w:val="0"/>
  </w:num>
  <w:num w:numId="36">
    <w:abstractNumId w:val="19"/>
  </w:num>
  <w:num w:numId="37">
    <w:abstractNumId w:val="3"/>
  </w:num>
  <w:num w:numId="38">
    <w:abstractNumId w:val="7"/>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BE4"/>
    <w:rsid w:val="00043240"/>
    <w:rsid w:val="00071870"/>
    <w:rsid w:val="00075A8F"/>
    <w:rsid w:val="00083142"/>
    <w:rsid w:val="000874AB"/>
    <w:rsid w:val="00091155"/>
    <w:rsid w:val="000B2BE4"/>
    <w:rsid w:val="000B5908"/>
    <w:rsid w:val="000B60D1"/>
    <w:rsid w:val="000E547A"/>
    <w:rsid w:val="001058B7"/>
    <w:rsid w:val="00116780"/>
    <w:rsid w:val="001554B6"/>
    <w:rsid w:val="001748FB"/>
    <w:rsid w:val="00196FC6"/>
    <w:rsid w:val="0019782E"/>
    <w:rsid w:val="001B0691"/>
    <w:rsid w:val="001B1745"/>
    <w:rsid w:val="001B72C5"/>
    <w:rsid w:val="00205F75"/>
    <w:rsid w:val="00223C52"/>
    <w:rsid w:val="00225383"/>
    <w:rsid w:val="00230B73"/>
    <w:rsid w:val="00232DFC"/>
    <w:rsid w:val="00241AF5"/>
    <w:rsid w:val="0025132F"/>
    <w:rsid w:val="002953B3"/>
    <w:rsid w:val="002B1BB6"/>
    <w:rsid w:val="002B71BD"/>
    <w:rsid w:val="002C0C41"/>
    <w:rsid w:val="002C4A2E"/>
    <w:rsid w:val="002D461F"/>
    <w:rsid w:val="002F51DE"/>
    <w:rsid w:val="0031299E"/>
    <w:rsid w:val="00365368"/>
    <w:rsid w:val="00365842"/>
    <w:rsid w:val="00370738"/>
    <w:rsid w:val="00380116"/>
    <w:rsid w:val="0039377A"/>
    <w:rsid w:val="003A3178"/>
    <w:rsid w:val="003B2F96"/>
    <w:rsid w:val="003B74B8"/>
    <w:rsid w:val="003C090A"/>
    <w:rsid w:val="003D0ECF"/>
    <w:rsid w:val="004047BA"/>
    <w:rsid w:val="00431DC6"/>
    <w:rsid w:val="00431E06"/>
    <w:rsid w:val="004500F4"/>
    <w:rsid w:val="0045328D"/>
    <w:rsid w:val="00483055"/>
    <w:rsid w:val="004E3825"/>
    <w:rsid w:val="004F4250"/>
    <w:rsid w:val="004F5F53"/>
    <w:rsid w:val="005061C8"/>
    <w:rsid w:val="0055564D"/>
    <w:rsid w:val="00574406"/>
    <w:rsid w:val="005760C5"/>
    <w:rsid w:val="005A6D66"/>
    <w:rsid w:val="005B4939"/>
    <w:rsid w:val="005B7E5F"/>
    <w:rsid w:val="005D6F9C"/>
    <w:rsid w:val="005E41DF"/>
    <w:rsid w:val="005E4983"/>
    <w:rsid w:val="005E6F9A"/>
    <w:rsid w:val="00602A61"/>
    <w:rsid w:val="0061022B"/>
    <w:rsid w:val="00654CED"/>
    <w:rsid w:val="006632B9"/>
    <w:rsid w:val="00671DEF"/>
    <w:rsid w:val="006B0C95"/>
    <w:rsid w:val="006B3002"/>
    <w:rsid w:val="006C303D"/>
    <w:rsid w:val="006C5690"/>
    <w:rsid w:val="006C7C8E"/>
    <w:rsid w:val="006D6F15"/>
    <w:rsid w:val="007126A2"/>
    <w:rsid w:val="00722B5D"/>
    <w:rsid w:val="007317AC"/>
    <w:rsid w:val="0073362F"/>
    <w:rsid w:val="0073366A"/>
    <w:rsid w:val="00745920"/>
    <w:rsid w:val="00757E72"/>
    <w:rsid w:val="007872EF"/>
    <w:rsid w:val="00790DD0"/>
    <w:rsid w:val="00792E97"/>
    <w:rsid w:val="007A4A87"/>
    <w:rsid w:val="007B1623"/>
    <w:rsid w:val="007B427D"/>
    <w:rsid w:val="007B56B1"/>
    <w:rsid w:val="007C0786"/>
    <w:rsid w:val="007C0F12"/>
    <w:rsid w:val="007C27CF"/>
    <w:rsid w:val="007D0C58"/>
    <w:rsid w:val="007E4151"/>
    <w:rsid w:val="007E481C"/>
    <w:rsid w:val="007F1717"/>
    <w:rsid w:val="008128C9"/>
    <w:rsid w:val="0081546B"/>
    <w:rsid w:val="00821CB6"/>
    <w:rsid w:val="00836656"/>
    <w:rsid w:val="00887DFD"/>
    <w:rsid w:val="008C782E"/>
    <w:rsid w:val="008D7A3A"/>
    <w:rsid w:val="008D7E2E"/>
    <w:rsid w:val="008E497D"/>
    <w:rsid w:val="00931A9D"/>
    <w:rsid w:val="00931D3A"/>
    <w:rsid w:val="009368B1"/>
    <w:rsid w:val="00946F7F"/>
    <w:rsid w:val="0095222A"/>
    <w:rsid w:val="00961DC2"/>
    <w:rsid w:val="00994B01"/>
    <w:rsid w:val="009B4CB2"/>
    <w:rsid w:val="009C3B96"/>
    <w:rsid w:val="009D6BB1"/>
    <w:rsid w:val="009E24A5"/>
    <w:rsid w:val="009E7749"/>
    <w:rsid w:val="009F1FD1"/>
    <w:rsid w:val="009F30DC"/>
    <w:rsid w:val="00A06F88"/>
    <w:rsid w:val="00A21E66"/>
    <w:rsid w:val="00A35706"/>
    <w:rsid w:val="00A7776D"/>
    <w:rsid w:val="00A8312E"/>
    <w:rsid w:val="00AB13A6"/>
    <w:rsid w:val="00AC3F64"/>
    <w:rsid w:val="00AC682C"/>
    <w:rsid w:val="00AF3F1E"/>
    <w:rsid w:val="00B15811"/>
    <w:rsid w:val="00B1714D"/>
    <w:rsid w:val="00B349D4"/>
    <w:rsid w:val="00B5257F"/>
    <w:rsid w:val="00B602C7"/>
    <w:rsid w:val="00B65A06"/>
    <w:rsid w:val="00B65E06"/>
    <w:rsid w:val="00B86E5E"/>
    <w:rsid w:val="00B949C0"/>
    <w:rsid w:val="00B95295"/>
    <w:rsid w:val="00B95C86"/>
    <w:rsid w:val="00BA21A9"/>
    <w:rsid w:val="00BB22E2"/>
    <w:rsid w:val="00BD7E66"/>
    <w:rsid w:val="00BE5F1A"/>
    <w:rsid w:val="00BE604C"/>
    <w:rsid w:val="00C0187D"/>
    <w:rsid w:val="00C14661"/>
    <w:rsid w:val="00C72997"/>
    <w:rsid w:val="00C74FF2"/>
    <w:rsid w:val="00CD596F"/>
    <w:rsid w:val="00CE466C"/>
    <w:rsid w:val="00CF0D2D"/>
    <w:rsid w:val="00D04276"/>
    <w:rsid w:val="00D05C2D"/>
    <w:rsid w:val="00D2351A"/>
    <w:rsid w:val="00D4091D"/>
    <w:rsid w:val="00D50651"/>
    <w:rsid w:val="00D655F6"/>
    <w:rsid w:val="00D81CF5"/>
    <w:rsid w:val="00D86A3F"/>
    <w:rsid w:val="00DD3A41"/>
    <w:rsid w:val="00E05440"/>
    <w:rsid w:val="00E34715"/>
    <w:rsid w:val="00E372B6"/>
    <w:rsid w:val="00E46011"/>
    <w:rsid w:val="00E602EE"/>
    <w:rsid w:val="00E605F6"/>
    <w:rsid w:val="00E62620"/>
    <w:rsid w:val="00E66CA2"/>
    <w:rsid w:val="00E72880"/>
    <w:rsid w:val="00E803A6"/>
    <w:rsid w:val="00E905C0"/>
    <w:rsid w:val="00E922FD"/>
    <w:rsid w:val="00E965C0"/>
    <w:rsid w:val="00EA5C68"/>
    <w:rsid w:val="00EA6298"/>
    <w:rsid w:val="00EC2232"/>
    <w:rsid w:val="00EC6A2E"/>
    <w:rsid w:val="00ED59C0"/>
    <w:rsid w:val="00F0027E"/>
    <w:rsid w:val="00F026D5"/>
    <w:rsid w:val="00F12EE7"/>
    <w:rsid w:val="00F158AE"/>
    <w:rsid w:val="00F15CCF"/>
    <w:rsid w:val="00F30E53"/>
    <w:rsid w:val="00F37799"/>
    <w:rsid w:val="00F966E0"/>
    <w:rsid w:val="00FA4521"/>
    <w:rsid w:val="00FD60C1"/>
    <w:rsid w:val="00FD7260"/>
    <w:rsid w:val="00FE52A3"/>
    <w:rsid w:val="00FE6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F53"/>
    <w:pPr>
      <w:ind w:left="720"/>
      <w:contextualSpacing/>
    </w:pPr>
  </w:style>
  <w:style w:type="character" w:styleId="Hyperlink">
    <w:name w:val="Hyperlink"/>
    <w:basedOn w:val="DefaultParagraphFont"/>
    <w:uiPriority w:val="99"/>
    <w:unhideWhenUsed/>
    <w:rsid w:val="004F5F53"/>
    <w:rPr>
      <w:color w:val="0000FF" w:themeColor="hyperlink"/>
      <w:u w:val="single"/>
    </w:rPr>
  </w:style>
  <w:style w:type="character" w:styleId="FollowedHyperlink">
    <w:name w:val="FollowedHyperlink"/>
    <w:basedOn w:val="DefaultParagraphFont"/>
    <w:uiPriority w:val="99"/>
    <w:semiHidden/>
    <w:unhideWhenUsed/>
    <w:rsid w:val="00205F75"/>
    <w:rPr>
      <w:color w:val="800080" w:themeColor="followedHyperlink"/>
      <w:u w:val="single"/>
    </w:rPr>
  </w:style>
  <w:style w:type="table" w:styleId="TableGrid">
    <w:name w:val="Table Grid"/>
    <w:basedOn w:val="TableNormal"/>
    <w:uiPriority w:val="59"/>
    <w:rsid w:val="00196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1870"/>
    <w:rPr>
      <w:sz w:val="16"/>
      <w:szCs w:val="16"/>
    </w:rPr>
  </w:style>
  <w:style w:type="paragraph" w:styleId="CommentText">
    <w:name w:val="annotation text"/>
    <w:basedOn w:val="Normal"/>
    <w:link w:val="CommentTextChar"/>
    <w:uiPriority w:val="99"/>
    <w:semiHidden/>
    <w:unhideWhenUsed/>
    <w:rsid w:val="00071870"/>
    <w:pPr>
      <w:spacing w:line="240" w:lineRule="auto"/>
    </w:pPr>
    <w:rPr>
      <w:sz w:val="20"/>
      <w:szCs w:val="20"/>
    </w:rPr>
  </w:style>
  <w:style w:type="character" w:customStyle="1" w:styleId="CommentTextChar">
    <w:name w:val="Comment Text Char"/>
    <w:basedOn w:val="DefaultParagraphFont"/>
    <w:link w:val="CommentText"/>
    <w:uiPriority w:val="99"/>
    <w:semiHidden/>
    <w:rsid w:val="00071870"/>
    <w:rPr>
      <w:sz w:val="20"/>
      <w:szCs w:val="20"/>
    </w:rPr>
  </w:style>
  <w:style w:type="paragraph" w:styleId="CommentSubject">
    <w:name w:val="annotation subject"/>
    <w:basedOn w:val="CommentText"/>
    <w:next w:val="CommentText"/>
    <w:link w:val="CommentSubjectChar"/>
    <w:uiPriority w:val="99"/>
    <w:semiHidden/>
    <w:unhideWhenUsed/>
    <w:rsid w:val="00071870"/>
    <w:rPr>
      <w:b/>
      <w:bCs/>
    </w:rPr>
  </w:style>
  <w:style w:type="character" w:customStyle="1" w:styleId="CommentSubjectChar">
    <w:name w:val="Comment Subject Char"/>
    <w:basedOn w:val="CommentTextChar"/>
    <w:link w:val="CommentSubject"/>
    <w:uiPriority w:val="99"/>
    <w:semiHidden/>
    <w:rsid w:val="00071870"/>
    <w:rPr>
      <w:b/>
      <w:bCs/>
      <w:sz w:val="20"/>
      <w:szCs w:val="20"/>
    </w:rPr>
  </w:style>
  <w:style w:type="paragraph" w:styleId="BalloonText">
    <w:name w:val="Balloon Text"/>
    <w:basedOn w:val="Normal"/>
    <w:link w:val="BalloonTextChar"/>
    <w:uiPriority w:val="99"/>
    <w:semiHidden/>
    <w:unhideWhenUsed/>
    <w:rsid w:val="00071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870"/>
    <w:rPr>
      <w:rFonts w:ascii="Tahoma" w:hAnsi="Tahoma" w:cs="Tahoma"/>
      <w:sz w:val="16"/>
      <w:szCs w:val="16"/>
    </w:rPr>
  </w:style>
  <w:style w:type="paragraph" w:customStyle="1" w:styleId="Default">
    <w:name w:val="Default"/>
    <w:rsid w:val="004E3825"/>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745920"/>
    <w:pPr>
      <w:spacing w:after="0" w:line="240" w:lineRule="auto"/>
    </w:pPr>
  </w:style>
  <w:style w:type="paragraph" w:styleId="Header">
    <w:name w:val="header"/>
    <w:basedOn w:val="Normal"/>
    <w:link w:val="HeaderChar"/>
    <w:uiPriority w:val="99"/>
    <w:unhideWhenUsed/>
    <w:rsid w:val="00F1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CCF"/>
  </w:style>
  <w:style w:type="paragraph" w:styleId="Footer">
    <w:name w:val="footer"/>
    <w:basedOn w:val="Normal"/>
    <w:link w:val="FooterChar"/>
    <w:uiPriority w:val="99"/>
    <w:unhideWhenUsed/>
    <w:rsid w:val="00F1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CCF"/>
  </w:style>
  <w:style w:type="paragraph" w:styleId="FootnoteText">
    <w:name w:val="footnote text"/>
    <w:basedOn w:val="Normal"/>
    <w:link w:val="FootnoteTextChar"/>
    <w:uiPriority w:val="99"/>
    <w:semiHidden/>
    <w:unhideWhenUsed/>
    <w:rsid w:val="00F377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7799"/>
    <w:rPr>
      <w:sz w:val="20"/>
      <w:szCs w:val="20"/>
    </w:rPr>
  </w:style>
  <w:style w:type="character" w:styleId="FootnoteReference">
    <w:name w:val="footnote reference"/>
    <w:basedOn w:val="DefaultParagraphFont"/>
    <w:uiPriority w:val="99"/>
    <w:semiHidden/>
    <w:unhideWhenUsed/>
    <w:rsid w:val="00F377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F53"/>
    <w:pPr>
      <w:ind w:left="720"/>
      <w:contextualSpacing/>
    </w:pPr>
  </w:style>
  <w:style w:type="character" w:styleId="Hyperlink">
    <w:name w:val="Hyperlink"/>
    <w:basedOn w:val="DefaultParagraphFont"/>
    <w:uiPriority w:val="99"/>
    <w:unhideWhenUsed/>
    <w:rsid w:val="004F5F53"/>
    <w:rPr>
      <w:color w:val="0000FF" w:themeColor="hyperlink"/>
      <w:u w:val="single"/>
    </w:rPr>
  </w:style>
  <w:style w:type="character" w:styleId="FollowedHyperlink">
    <w:name w:val="FollowedHyperlink"/>
    <w:basedOn w:val="DefaultParagraphFont"/>
    <w:uiPriority w:val="99"/>
    <w:semiHidden/>
    <w:unhideWhenUsed/>
    <w:rsid w:val="00205F75"/>
    <w:rPr>
      <w:color w:val="800080" w:themeColor="followedHyperlink"/>
      <w:u w:val="single"/>
    </w:rPr>
  </w:style>
  <w:style w:type="table" w:styleId="TableGrid">
    <w:name w:val="Table Grid"/>
    <w:basedOn w:val="TableNormal"/>
    <w:uiPriority w:val="59"/>
    <w:rsid w:val="00196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1870"/>
    <w:rPr>
      <w:sz w:val="16"/>
      <w:szCs w:val="16"/>
    </w:rPr>
  </w:style>
  <w:style w:type="paragraph" w:styleId="CommentText">
    <w:name w:val="annotation text"/>
    <w:basedOn w:val="Normal"/>
    <w:link w:val="CommentTextChar"/>
    <w:uiPriority w:val="99"/>
    <w:semiHidden/>
    <w:unhideWhenUsed/>
    <w:rsid w:val="00071870"/>
    <w:pPr>
      <w:spacing w:line="240" w:lineRule="auto"/>
    </w:pPr>
    <w:rPr>
      <w:sz w:val="20"/>
      <w:szCs w:val="20"/>
    </w:rPr>
  </w:style>
  <w:style w:type="character" w:customStyle="1" w:styleId="CommentTextChar">
    <w:name w:val="Comment Text Char"/>
    <w:basedOn w:val="DefaultParagraphFont"/>
    <w:link w:val="CommentText"/>
    <w:uiPriority w:val="99"/>
    <w:semiHidden/>
    <w:rsid w:val="00071870"/>
    <w:rPr>
      <w:sz w:val="20"/>
      <w:szCs w:val="20"/>
    </w:rPr>
  </w:style>
  <w:style w:type="paragraph" w:styleId="CommentSubject">
    <w:name w:val="annotation subject"/>
    <w:basedOn w:val="CommentText"/>
    <w:next w:val="CommentText"/>
    <w:link w:val="CommentSubjectChar"/>
    <w:uiPriority w:val="99"/>
    <w:semiHidden/>
    <w:unhideWhenUsed/>
    <w:rsid w:val="00071870"/>
    <w:rPr>
      <w:b/>
      <w:bCs/>
    </w:rPr>
  </w:style>
  <w:style w:type="character" w:customStyle="1" w:styleId="CommentSubjectChar">
    <w:name w:val="Comment Subject Char"/>
    <w:basedOn w:val="CommentTextChar"/>
    <w:link w:val="CommentSubject"/>
    <w:uiPriority w:val="99"/>
    <w:semiHidden/>
    <w:rsid w:val="00071870"/>
    <w:rPr>
      <w:b/>
      <w:bCs/>
      <w:sz w:val="20"/>
      <w:szCs w:val="20"/>
    </w:rPr>
  </w:style>
  <w:style w:type="paragraph" w:styleId="BalloonText">
    <w:name w:val="Balloon Text"/>
    <w:basedOn w:val="Normal"/>
    <w:link w:val="BalloonTextChar"/>
    <w:uiPriority w:val="99"/>
    <w:semiHidden/>
    <w:unhideWhenUsed/>
    <w:rsid w:val="00071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870"/>
    <w:rPr>
      <w:rFonts w:ascii="Tahoma" w:hAnsi="Tahoma" w:cs="Tahoma"/>
      <w:sz w:val="16"/>
      <w:szCs w:val="16"/>
    </w:rPr>
  </w:style>
  <w:style w:type="paragraph" w:customStyle="1" w:styleId="Default">
    <w:name w:val="Default"/>
    <w:rsid w:val="004E3825"/>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745920"/>
    <w:pPr>
      <w:spacing w:after="0" w:line="240" w:lineRule="auto"/>
    </w:pPr>
  </w:style>
  <w:style w:type="paragraph" w:styleId="Header">
    <w:name w:val="header"/>
    <w:basedOn w:val="Normal"/>
    <w:link w:val="HeaderChar"/>
    <w:uiPriority w:val="99"/>
    <w:unhideWhenUsed/>
    <w:rsid w:val="00F1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CCF"/>
  </w:style>
  <w:style w:type="paragraph" w:styleId="Footer">
    <w:name w:val="footer"/>
    <w:basedOn w:val="Normal"/>
    <w:link w:val="FooterChar"/>
    <w:uiPriority w:val="99"/>
    <w:unhideWhenUsed/>
    <w:rsid w:val="00F1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CCF"/>
  </w:style>
  <w:style w:type="paragraph" w:styleId="FootnoteText">
    <w:name w:val="footnote text"/>
    <w:basedOn w:val="Normal"/>
    <w:link w:val="FootnoteTextChar"/>
    <w:uiPriority w:val="99"/>
    <w:semiHidden/>
    <w:unhideWhenUsed/>
    <w:rsid w:val="00F377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7799"/>
    <w:rPr>
      <w:sz w:val="20"/>
      <w:szCs w:val="20"/>
    </w:rPr>
  </w:style>
  <w:style w:type="character" w:styleId="FootnoteReference">
    <w:name w:val="footnote reference"/>
    <w:basedOn w:val="DefaultParagraphFont"/>
    <w:uiPriority w:val="99"/>
    <w:semiHidden/>
    <w:unhideWhenUsed/>
    <w:rsid w:val="00F377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79172">
      <w:bodyDiv w:val="1"/>
      <w:marLeft w:val="0"/>
      <w:marRight w:val="0"/>
      <w:marTop w:val="0"/>
      <w:marBottom w:val="0"/>
      <w:divBdr>
        <w:top w:val="none" w:sz="0" w:space="0" w:color="auto"/>
        <w:left w:val="none" w:sz="0" w:space="0" w:color="auto"/>
        <w:bottom w:val="none" w:sz="0" w:space="0" w:color="auto"/>
        <w:right w:val="none" w:sz="0" w:space="0" w:color="auto"/>
      </w:divBdr>
    </w:div>
    <w:div w:id="1670862917">
      <w:bodyDiv w:val="1"/>
      <w:marLeft w:val="0"/>
      <w:marRight w:val="0"/>
      <w:marTop w:val="0"/>
      <w:marBottom w:val="0"/>
      <w:divBdr>
        <w:top w:val="none" w:sz="0" w:space="0" w:color="auto"/>
        <w:left w:val="none" w:sz="0" w:space="0" w:color="auto"/>
        <w:bottom w:val="none" w:sz="0" w:space="0" w:color="auto"/>
        <w:right w:val="none" w:sz="0" w:space="0" w:color="auto"/>
      </w:divBdr>
      <w:divsChild>
        <w:div w:id="1314413777">
          <w:marLeft w:val="0"/>
          <w:marRight w:val="0"/>
          <w:marTop w:val="0"/>
          <w:marBottom w:val="0"/>
          <w:divBdr>
            <w:top w:val="none" w:sz="0" w:space="0" w:color="auto"/>
            <w:left w:val="none" w:sz="0" w:space="0" w:color="auto"/>
            <w:bottom w:val="none" w:sz="0" w:space="0" w:color="auto"/>
            <w:right w:val="none" w:sz="0" w:space="0" w:color="auto"/>
          </w:divBdr>
          <w:divsChild>
            <w:div w:id="1969123091">
              <w:marLeft w:val="0"/>
              <w:marRight w:val="0"/>
              <w:marTop w:val="0"/>
              <w:marBottom w:val="0"/>
              <w:divBdr>
                <w:top w:val="none" w:sz="0" w:space="0" w:color="auto"/>
                <w:left w:val="none" w:sz="0" w:space="0" w:color="auto"/>
                <w:bottom w:val="none" w:sz="0" w:space="0" w:color="auto"/>
                <w:right w:val="none" w:sz="0" w:space="0" w:color="auto"/>
              </w:divBdr>
              <w:divsChild>
                <w:div w:id="902788638">
                  <w:marLeft w:val="0"/>
                  <w:marRight w:val="0"/>
                  <w:marTop w:val="0"/>
                  <w:marBottom w:val="0"/>
                  <w:divBdr>
                    <w:top w:val="none" w:sz="0" w:space="0" w:color="auto"/>
                    <w:left w:val="none" w:sz="0" w:space="0" w:color="auto"/>
                    <w:bottom w:val="none" w:sz="0" w:space="0" w:color="auto"/>
                    <w:right w:val="none" w:sz="0" w:space="0" w:color="auto"/>
                  </w:divBdr>
                  <w:divsChild>
                    <w:div w:id="1535920855">
                      <w:marLeft w:val="0"/>
                      <w:marRight w:val="0"/>
                      <w:marTop w:val="0"/>
                      <w:marBottom w:val="0"/>
                      <w:divBdr>
                        <w:top w:val="none" w:sz="0" w:space="0" w:color="auto"/>
                        <w:left w:val="single" w:sz="24" w:space="0" w:color="FFEECC"/>
                        <w:bottom w:val="none" w:sz="0" w:space="0" w:color="auto"/>
                        <w:right w:val="single" w:sz="24" w:space="0" w:color="FFEECC"/>
                      </w:divBdr>
                    </w:div>
                  </w:divsChild>
                </w:div>
              </w:divsChild>
            </w:div>
          </w:divsChild>
        </w:div>
      </w:divsChild>
    </w:div>
    <w:div w:id="203391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cic.gov.uk/catalogue/PUB16834/pss-staff-eng-14-rpt.pdf" TargetMode="External"/><Relationship Id="rId18" Type="http://schemas.openxmlformats.org/officeDocument/2006/relationships/hyperlink" Target="http://www.theguardian.com/careers/2015/jun/29/why-are-so-few-young-people-taking-up-social-care-apprenticeship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uploads/system/uploads/attachment_data/file/430137/Skills_and_Performance_Challenges_in_Health_and_Social_Care.pdf" TargetMode="External"/><Relationship Id="rId7" Type="http://schemas.openxmlformats.org/officeDocument/2006/relationships/footnotes" Target="footnotes.xml"/><Relationship Id="rId12" Type="http://schemas.openxmlformats.org/officeDocument/2006/relationships/hyperlink" Target="http://www.alzheimers.org.uk/site/scripts/news_article.php?newsID=2220" TargetMode="External"/><Relationship Id="rId17" Type="http://schemas.openxmlformats.org/officeDocument/2006/relationships/hyperlink" Target="http://www.skillsforcare.org.uk/Document-library/Finding-and-keeping-workers/Recruitment-and-retention-strategy/recruitment-and-retention-strategy-2014---2017.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killsforcare.org.uk/Document-library/NMDS-SC,-workforce-intelligence-and-innovation/NMDS-SC/Briefings/Trend-Briefing-2---Recruitment-and-Retention.pdf" TargetMode="External"/><Relationship Id="rId20" Type="http://schemas.openxmlformats.org/officeDocument/2006/relationships/hyperlink" Target="http://www.local.gov.uk/web/guest/media-releases/-/journal_content/56/10180/7386419/NEW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illsforcare.org.uk/NMDS-SC-intelligence-research-and-innovation/NMDS-SC/Workforce-intelligence-publications/The-size-and-structure-of-the-adult-social-care-sector-and-workforce-in-England.aspx?utm_medium=email&amp;utm_source=Skills+for+Care&amp;utm_campaign=4825353_Enews+09102014&amp;utm_content=newstwo09102014en&amp;dm_i=1E83,2VF9L,DM5X1Y,AEMGO,1" TargetMode="External"/><Relationship Id="rId24" Type="http://schemas.openxmlformats.org/officeDocument/2006/relationships/hyperlink" Target="http://www.skillsforcare.org.uk/Finding-and-keeping-workers/I-CareAmbassadors/I-Care-Ambassadors.aspx" TargetMode="External"/><Relationship Id="rId5" Type="http://schemas.openxmlformats.org/officeDocument/2006/relationships/settings" Target="settings.xml"/><Relationship Id="rId15" Type="http://schemas.openxmlformats.org/officeDocument/2006/relationships/hyperlink" Target="http://wave.brighton-hove.gov.uk/LGCSDocumentLibrary/Brighton%20%20Hove%20City%20Council%20Corporate%20Plan%202015-2019%20The%20way%20ahead.pdf" TargetMode="External"/><Relationship Id="rId23" Type="http://schemas.openxmlformats.org/officeDocument/2006/relationships/hyperlink" Target="http://www.itproportal.com/2015/02/26/uk-smartphone-ownership-reaches-record-high-growth-continues-slow/" TargetMode="External"/><Relationship Id="rId10" Type="http://schemas.openxmlformats.org/officeDocument/2006/relationships/chart" Target="charts/chart2.xml"/><Relationship Id="rId19" Type="http://schemas.openxmlformats.org/officeDocument/2006/relationships/hyperlink" Target="http://www.theworkfoundation.com/DownloadPublication/Report/344_Apprenticeship%20policy%20paper%20FINAL.pdf"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www.thesocialcarecommitment.org.uk/" TargetMode="External"/><Relationship Id="rId22" Type="http://schemas.openxmlformats.org/officeDocument/2006/relationships/hyperlink" Target="http://www.skillsforcare.org.uk/Document-library/Finding-and-keeping-workers/Practical-toolkits/FindersKeepers.pdf"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Distribution</a:t>
            </a:r>
            <a:r>
              <a:rPr lang="en-GB" baseline="0"/>
              <a:t> of retention rates in social care employers</a:t>
            </a:r>
            <a:endParaRPr lang="en-GB"/>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Sheet1!$A$3:$A$8</c:f>
              <c:strCache>
                <c:ptCount val="6"/>
                <c:pt idx="0">
                  <c:v>less than 10%</c:v>
                </c:pt>
                <c:pt idx="1">
                  <c:v>10-19.9</c:v>
                </c:pt>
                <c:pt idx="2">
                  <c:v>20-29.9</c:v>
                </c:pt>
                <c:pt idx="3">
                  <c:v>30-39.9</c:v>
                </c:pt>
                <c:pt idx="4">
                  <c:v>40-49.9</c:v>
                </c:pt>
                <c:pt idx="5">
                  <c:v>50 and over</c:v>
                </c:pt>
              </c:strCache>
            </c:strRef>
          </c:cat>
          <c:val>
            <c:numRef>
              <c:f>Sheet1!$B$3:$B$8</c:f>
              <c:numCache>
                <c:formatCode>General</c:formatCode>
                <c:ptCount val="6"/>
                <c:pt idx="0">
                  <c:v>33</c:v>
                </c:pt>
                <c:pt idx="1">
                  <c:v>25</c:v>
                </c:pt>
                <c:pt idx="2">
                  <c:v>15</c:v>
                </c:pt>
                <c:pt idx="3">
                  <c:v>10</c:v>
                </c:pt>
                <c:pt idx="4">
                  <c:v>6</c:v>
                </c:pt>
                <c:pt idx="5">
                  <c:v>11</c:v>
                </c:pt>
              </c:numCache>
            </c:numRef>
          </c:val>
        </c:ser>
        <c:dLbls>
          <c:showLegendKey val="0"/>
          <c:showVal val="0"/>
          <c:showCatName val="0"/>
          <c:showSerName val="0"/>
          <c:showPercent val="0"/>
          <c:showBubbleSize val="0"/>
        </c:dLbls>
        <c:gapWidth val="150"/>
        <c:shape val="box"/>
        <c:axId val="79295232"/>
        <c:axId val="79297152"/>
        <c:axId val="0"/>
      </c:bar3DChart>
      <c:catAx>
        <c:axId val="79295232"/>
        <c:scaling>
          <c:orientation val="minMax"/>
        </c:scaling>
        <c:delete val="0"/>
        <c:axPos val="b"/>
        <c:title>
          <c:tx>
            <c:rich>
              <a:bodyPr/>
              <a:lstStyle/>
              <a:p>
                <a:pPr>
                  <a:defRPr/>
                </a:pPr>
                <a:r>
                  <a:rPr lang="en-GB"/>
                  <a:t>Turnover</a:t>
                </a:r>
                <a:r>
                  <a:rPr lang="en-GB" baseline="0"/>
                  <a:t> Rate</a:t>
                </a:r>
                <a:endParaRPr lang="en-GB"/>
              </a:p>
            </c:rich>
          </c:tx>
          <c:layout/>
          <c:overlay val="0"/>
        </c:title>
        <c:majorTickMark val="none"/>
        <c:minorTickMark val="none"/>
        <c:tickLblPos val="nextTo"/>
        <c:crossAx val="79297152"/>
        <c:crosses val="autoZero"/>
        <c:auto val="1"/>
        <c:lblAlgn val="ctr"/>
        <c:lblOffset val="100"/>
        <c:noMultiLvlLbl val="0"/>
      </c:catAx>
      <c:valAx>
        <c:axId val="79297152"/>
        <c:scaling>
          <c:orientation val="minMax"/>
        </c:scaling>
        <c:delete val="0"/>
        <c:axPos val="l"/>
        <c:majorGridlines/>
        <c:title>
          <c:tx>
            <c:rich>
              <a:bodyPr/>
              <a:lstStyle/>
              <a:p>
                <a:pPr>
                  <a:defRPr/>
                </a:pPr>
                <a:r>
                  <a:rPr lang="en-GB"/>
                  <a:t>Percentage</a:t>
                </a:r>
                <a:r>
                  <a:rPr lang="en-GB" baseline="0"/>
                  <a:t> of employers</a:t>
                </a:r>
              </a:p>
            </c:rich>
          </c:tx>
          <c:layout/>
          <c:overlay val="0"/>
        </c:title>
        <c:numFmt formatCode="General" sourceLinked="1"/>
        <c:majorTickMark val="out"/>
        <c:minorTickMark val="none"/>
        <c:tickLblPos val="nextTo"/>
        <c:crossAx val="7929523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Turnover</a:t>
            </a:r>
            <a:r>
              <a:rPr lang="en-GB" baseline="0"/>
              <a:t> Rate by Year</a:t>
            </a:r>
          </a:p>
        </c:rich>
      </c:tx>
      <c:layout/>
      <c:overlay val="0"/>
    </c:title>
    <c:autoTitleDeleted val="0"/>
    <c:plotArea>
      <c:layout/>
      <c:scatterChart>
        <c:scatterStyle val="smoothMarker"/>
        <c:varyColors val="0"/>
        <c:ser>
          <c:idx val="0"/>
          <c:order val="0"/>
          <c:xVal>
            <c:numRef>
              <c:f>Sheet1!$A$5:$A$10</c:f>
              <c:numCache>
                <c:formatCode>General</c:formatCode>
                <c:ptCount val="6"/>
                <c:pt idx="0">
                  <c:v>2009</c:v>
                </c:pt>
                <c:pt idx="1">
                  <c:v>2010</c:v>
                </c:pt>
                <c:pt idx="2">
                  <c:v>2011</c:v>
                </c:pt>
                <c:pt idx="3">
                  <c:v>2012</c:v>
                </c:pt>
                <c:pt idx="4">
                  <c:v>2013</c:v>
                </c:pt>
                <c:pt idx="5">
                  <c:v>2014</c:v>
                </c:pt>
              </c:numCache>
            </c:numRef>
          </c:xVal>
          <c:yVal>
            <c:numRef>
              <c:f>Sheet1!$B$5:$B$10</c:f>
              <c:numCache>
                <c:formatCode>General</c:formatCode>
                <c:ptCount val="6"/>
                <c:pt idx="0">
                  <c:v>23.5</c:v>
                </c:pt>
                <c:pt idx="1">
                  <c:v>23.3</c:v>
                </c:pt>
                <c:pt idx="2">
                  <c:v>24</c:v>
                </c:pt>
                <c:pt idx="3">
                  <c:v>24.9</c:v>
                </c:pt>
                <c:pt idx="4">
                  <c:v>26.3</c:v>
                </c:pt>
                <c:pt idx="5">
                  <c:v>27.3</c:v>
                </c:pt>
              </c:numCache>
            </c:numRef>
          </c:yVal>
          <c:smooth val="1"/>
        </c:ser>
        <c:dLbls>
          <c:showLegendKey val="0"/>
          <c:showVal val="0"/>
          <c:showCatName val="0"/>
          <c:showSerName val="0"/>
          <c:showPercent val="0"/>
          <c:showBubbleSize val="0"/>
        </c:dLbls>
        <c:axId val="35458048"/>
        <c:axId val="35480704"/>
      </c:scatterChart>
      <c:valAx>
        <c:axId val="35458048"/>
        <c:scaling>
          <c:orientation val="minMax"/>
          <c:max val="2014"/>
        </c:scaling>
        <c:delete val="0"/>
        <c:axPos val="b"/>
        <c:title>
          <c:tx>
            <c:rich>
              <a:bodyPr/>
              <a:lstStyle/>
              <a:p>
                <a:pPr>
                  <a:defRPr/>
                </a:pPr>
                <a:r>
                  <a:rPr lang="en-GB"/>
                  <a:t>Year</a:t>
                </a:r>
              </a:p>
            </c:rich>
          </c:tx>
          <c:layout/>
          <c:overlay val="0"/>
        </c:title>
        <c:numFmt formatCode="General" sourceLinked="1"/>
        <c:majorTickMark val="none"/>
        <c:minorTickMark val="none"/>
        <c:tickLblPos val="nextTo"/>
        <c:crossAx val="35480704"/>
        <c:crosses val="autoZero"/>
        <c:crossBetween val="midCat"/>
      </c:valAx>
      <c:valAx>
        <c:axId val="35480704"/>
        <c:scaling>
          <c:orientation val="minMax"/>
          <c:min val="0"/>
        </c:scaling>
        <c:delete val="0"/>
        <c:axPos val="l"/>
        <c:majorGridlines/>
        <c:title>
          <c:tx>
            <c:rich>
              <a:bodyPr/>
              <a:lstStyle/>
              <a:p>
                <a:pPr>
                  <a:defRPr/>
                </a:pPr>
                <a:r>
                  <a:rPr lang="en-GB"/>
                  <a:t>Percentage</a:t>
                </a:r>
                <a:r>
                  <a:rPr lang="en-GB" baseline="0"/>
                  <a:t> Turnover</a:t>
                </a:r>
              </a:p>
            </c:rich>
          </c:tx>
          <c:layout/>
          <c:overlay val="0"/>
        </c:title>
        <c:numFmt formatCode="General" sourceLinked="1"/>
        <c:majorTickMark val="none"/>
        <c:minorTickMark val="none"/>
        <c:tickLblPos val="nextTo"/>
        <c:crossAx val="35458048"/>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DBCB2-A187-4C47-BFDC-05E1EFB1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67F48D2A</Template>
  <TotalTime>0</TotalTime>
  <Pages>11</Pages>
  <Words>3339</Words>
  <Characters>19038</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Wilson</dc:creator>
  <cp:lastModifiedBy>Andrew Parfitt</cp:lastModifiedBy>
  <cp:revision>2</cp:revision>
  <cp:lastPrinted>2016-04-27T09:28:00Z</cp:lastPrinted>
  <dcterms:created xsi:type="dcterms:W3CDTF">2016-05-27T10:31:00Z</dcterms:created>
  <dcterms:modified xsi:type="dcterms:W3CDTF">2016-05-27T10:31:00Z</dcterms:modified>
</cp:coreProperties>
</file>